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F550" w14:textId="0E24C6BA" w:rsidR="007B7FD4" w:rsidRDefault="00000601" w:rsidP="00BD7877">
      <w:pPr>
        <w:spacing w:after="0" w:line="240" w:lineRule="auto"/>
        <w:rPr>
          <w:rFonts w:ascii="Arial" w:eastAsia="Times New Roman" w:hAnsi="Arial" w:cs="Arial"/>
          <w:sz w:val="26"/>
          <w:szCs w:val="26"/>
          <w:lang w:eastAsia="en-GB"/>
        </w:rPr>
      </w:pPr>
      <w:r>
        <w:rPr>
          <w:rFonts w:ascii="Arial" w:eastAsia="Times New Roman" w:hAnsi="Arial" w:cs="Arial"/>
          <w:noProof/>
          <w:sz w:val="26"/>
          <w:szCs w:val="26"/>
          <w:lang w:eastAsia="en-GB"/>
        </w:rPr>
        <w:drawing>
          <wp:anchor distT="0" distB="0" distL="114300" distR="114300" simplePos="0" relativeHeight="251657216" behindDoc="0" locked="0" layoutInCell="1" allowOverlap="1" wp14:anchorId="1CF04FBA" wp14:editId="33E88338">
            <wp:simplePos x="0" y="0"/>
            <wp:positionH relativeFrom="margin">
              <wp:align>left</wp:align>
            </wp:positionH>
            <wp:positionV relativeFrom="paragraph">
              <wp:posOffset>0</wp:posOffset>
            </wp:positionV>
            <wp:extent cx="3200400" cy="1271847"/>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RELondon_logo (3).jpg"/>
                    <pic:cNvPicPr/>
                  </pic:nvPicPr>
                  <pic:blipFill>
                    <a:blip r:embed="rId11">
                      <a:extLst>
                        <a:ext uri="{28A0092B-C50C-407E-A947-70E740481C1C}">
                          <a14:useLocalDpi xmlns:a14="http://schemas.microsoft.com/office/drawing/2010/main" val="0"/>
                        </a:ext>
                      </a:extLst>
                    </a:blip>
                    <a:stretch>
                      <a:fillRect/>
                    </a:stretch>
                  </pic:blipFill>
                  <pic:spPr>
                    <a:xfrm>
                      <a:off x="0" y="0"/>
                      <a:ext cx="3200400" cy="1271847"/>
                    </a:xfrm>
                    <a:prstGeom prst="rect">
                      <a:avLst/>
                    </a:prstGeom>
                  </pic:spPr>
                </pic:pic>
              </a:graphicData>
            </a:graphic>
            <wp14:sizeRelH relativeFrom="page">
              <wp14:pctWidth>0</wp14:pctWidth>
            </wp14:sizeRelH>
            <wp14:sizeRelV relativeFrom="page">
              <wp14:pctHeight>0</wp14:pctHeight>
            </wp14:sizeRelV>
          </wp:anchor>
        </w:drawing>
      </w:r>
    </w:p>
    <w:p w14:paraId="5DAE6579" w14:textId="40A8F885" w:rsidR="007B7FD4" w:rsidRDefault="007B7FD4" w:rsidP="00BD7877">
      <w:pPr>
        <w:spacing w:after="0" w:line="240" w:lineRule="auto"/>
        <w:rPr>
          <w:rFonts w:ascii="Arial" w:eastAsia="Times New Roman" w:hAnsi="Arial" w:cs="Arial"/>
          <w:sz w:val="26"/>
          <w:szCs w:val="26"/>
          <w:lang w:eastAsia="en-GB"/>
        </w:rPr>
      </w:pPr>
    </w:p>
    <w:p w14:paraId="38078177" w14:textId="77777777" w:rsidR="007B7FD4" w:rsidRDefault="007B7FD4" w:rsidP="00BD7877">
      <w:pPr>
        <w:spacing w:after="0" w:line="240" w:lineRule="auto"/>
        <w:rPr>
          <w:rFonts w:ascii="Arial" w:eastAsia="Times New Roman" w:hAnsi="Arial" w:cs="Arial"/>
          <w:sz w:val="26"/>
          <w:szCs w:val="26"/>
          <w:lang w:eastAsia="en-GB"/>
        </w:rPr>
      </w:pPr>
    </w:p>
    <w:p w14:paraId="615EA887" w14:textId="77777777" w:rsidR="00000601" w:rsidRDefault="00000601" w:rsidP="00BD7877">
      <w:pPr>
        <w:spacing w:after="0" w:line="240" w:lineRule="auto"/>
        <w:rPr>
          <w:rFonts w:ascii="Arial" w:eastAsia="Times New Roman" w:hAnsi="Arial" w:cs="Arial"/>
          <w:sz w:val="26"/>
          <w:szCs w:val="26"/>
          <w:lang w:eastAsia="en-GB"/>
        </w:rPr>
      </w:pPr>
    </w:p>
    <w:p w14:paraId="0D53DDEE" w14:textId="77777777" w:rsidR="00000601" w:rsidRDefault="00000601" w:rsidP="00BD7877">
      <w:pPr>
        <w:spacing w:after="0" w:line="240" w:lineRule="auto"/>
        <w:rPr>
          <w:rFonts w:ascii="Arial" w:eastAsia="Times New Roman" w:hAnsi="Arial" w:cs="Arial"/>
          <w:sz w:val="26"/>
          <w:szCs w:val="26"/>
          <w:lang w:eastAsia="en-GB"/>
        </w:rPr>
      </w:pPr>
    </w:p>
    <w:p w14:paraId="4095BA20" w14:textId="77777777" w:rsidR="00000601" w:rsidRDefault="00000601" w:rsidP="00BD7877">
      <w:pPr>
        <w:spacing w:after="0" w:line="240" w:lineRule="auto"/>
        <w:rPr>
          <w:rFonts w:ascii="Arial" w:eastAsia="Times New Roman" w:hAnsi="Arial" w:cs="Arial"/>
          <w:sz w:val="26"/>
          <w:szCs w:val="26"/>
          <w:lang w:eastAsia="en-GB"/>
        </w:rPr>
      </w:pPr>
    </w:p>
    <w:p w14:paraId="14CFA2F1" w14:textId="77777777" w:rsidR="00000601" w:rsidRDefault="00000601" w:rsidP="00BD7877">
      <w:pPr>
        <w:spacing w:after="0" w:line="240" w:lineRule="auto"/>
        <w:rPr>
          <w:rFonts w:ascii="Arial" w:eastAsia="Times New Roman" w:hAnsi="Arial" w:cs="Arial"/>
          <w:sz w:val="26"/>
          <w:szCs w:val="26"/>
          <w:lang w:eastAsia="en-GB"/>
        </w:rPr>
      </w:pPr>
    </w:p>
    <w:p w14:paraId="398FC74E" w14:textId="77777777" w:rsidR="00000601" w:rsidRDefault="00000601" w:rsidP="00BD7877">
      <w:pPr>
        <w:spacing w:after="0" w:line="240" w:lineRule="auto"/>
        <w:rPr>
          <w:rFonts w:ascii="Arial" w:eastAsia="Times New Roman" w:hAnsi="Arial" w:cs="Arial"/>
          <w:sz w:val="26"/>
          <w:szCs w:val="26"/>
          <w:lang w:eastAsia="en-GB"/>
        </w:rPr>
      </w:pPr>
    </w:p>
    <w:p w14:paraId="5322FF3D" w14:textId="78C857DD" w:rsidR="00272CBB" w:rsidRDefault="00D81305" w:rsidP="00D81305">
      <w:pPr>
        <w:spacing w:after="0" w:line="240" w:lineRule="auto"/>
        <w:jc w:val="right"/>
        <w:rPr>
          <w:rFonts w:eastAsia="Times New Roman" w:cstheme="minorHAnsi"/>
          <w:sz w:val="24"/>
          <w:szCs w:val="24"/>
          <w:lang w:eastAsia="en-GB"/>
        </w:rPr>
      </w:pPr>
      <w:r>
        <w:rPr>
          <w:rFonts w:eastAsia="Times New Roman" w:cstheme="minorHAnsi"/>
          <w:sz w:val="24"/>
          <w:szCs w:val="24"/>
          <w:lang w:eastAsia="en-GB"/>
        </w:rPr>
        <w:t>23 September 2019</w:t>
      </w:r>
    </w:p>
    <w:p w14:paraId="6771EDC4" w14:textId="20355C38" w:rsidR="00D81305" w:rsidRPr="00D81305" w:rsidRDefault="00272CBB" w:rsidP="00BD7877">
      <w:pPr>
        <w:spacing w:after="0" w:line="240" w:lineRule="auto"/>
        <w:rPr>
          <w:rFonts w:eastAsia="Times New Roman" w:cstheme="minorHAnsi"/>
          <w:sz w:val="24"/>
          <w:szCs w:val="24"/>
          <w:lang w:eastAsia="en-GB"/>
        </w:rPr>
      </w:pPr>
      <w:r w:rsidRPr="00D81305">
        <w:rPr>
          <w:rFonts w:eastAsia="Times New Roman" w:cstheme="minorHAnsi"/>
          <w:sz w:val="24"/>
          <w:szCs w:val="24"/>
          <w:lang w:eastAsia="en-GB"/>
        </w:rPr>
        <w:t xml:space="preserve">Dear Sirs, </w:t>
      </w:r>
    </w:p>
    <w:p w14:paraId="236939D5" w14:textId="77777777" w:rsidR="00272CBB" w:rsidRPr="00D81305" w:rsidRDefault="00272CBB" w:rsidP="00BD7877">
      <w:pPr>
        <w:spacing w:after="0" w:line="240" w:lineRule="auto"/>
        <w:rPr>
          <w:rFonts w:eastAsia="Times New Roman" w:cstheme="minorHAnsi"/>
          <w:sz w:val="24"/>
          <w:szCs w:val="24"/>
          <w:lang w:eastAsia="en-GB"/>
        </w:rPr>
      </w:pPr>
    </w:p>
    <w:p w14:paraId="35896A6B" w14:textId="0BC2AAD4" w:rsidR="00272CBB" w:rsidRPr="00D81305" w:rsidRDefault="00272CBB" w:rsidP="00272CBB">
      <w:pPr>
        <w:spacing w:after="0" w:line="240" w:lineRule="auto"/>
        <w:rPr>
          <w:rFonts w:eastAsia="Times New Roman" w:cstheme="minorHAnsi"/>
          <w:b/>
          <w:bCs/>
          <w:sz w:val="24"/>
          <w:szCs w:val="24"/>
          <w:u w:val="single"/>
          <w:lang w:eastAsia="en-GB"/>
        </w:rPr>
      </w:pPr>
      <w:r w:rsidRPr="00D81305">
        <w:rPr>
          <w:rFonts w:eastAsia="Times New Roman" w:cstheme="minorHAnsi"/>
          <w:b/>
          <w:bCs/>
          <w:sz w:val="24"/>
          <w:szCs w:val="24"/>
          <w:u w:val="single"/>
          <w:lang w:eastAsia="en-GB"/>
        </w:rPr>
        <w:t xml:space="preserve">CPRE London Response to Hounslow’s West of Borough Local Plan Consultation </w:t>
      </w:r>
    </w:p>
    <w:p w14:paraId="1E672046" w14:textId="77777777" w:rsidR="00272CBB" w:rsidRPr="00D81305" w:rsidRDefault="00272CBB" w:rsidP="00BD7877">
      <w:pPr>
        <w:spacing w:after="0" w:line="240" w:lineRule="auto"/>
        <w:rPr>
          <w:rFonts w:eastAsia="Times New Roman" w:cstheme="minorHAnsi"/>
          <w:sz w:val="24"/>
          <w:szCs w:val="24"/>
          <w:lang w:eastAsia="en-GB"/>
        </w:rPr>
      </w:pPr>
    </w:p>
    <w:p w14:paraId="75DDD84E" w14:textId="16DC59A1" w:rsidR="00B15465" w:rsidRDefault="00B15465" w:rsidP="00BD7877">
      <w:pPr>
        <w:spacing w:after="0" w:line="240" w:lineRule="auto"/>
        <w:rPr>
          <w:rFonts w:eastAsia="Times New Roman" w:cstheme="minorHAnsi"/>
          <w:sz w:val="24"/>
          <w:szCs w:val="24"/>
          <w:lang w:eastAsia="en-GB"/>
        </w:rPr>
      </w:pPr>
      <w:r>
        <w:rPr>
          <w:rFonts w:eastAsia="Times New Roman" w:cstheme="minorHAnsi"/>
          <w:sz w:val="24"/>
          <w:szCs w:val="24"/>
          <w:lang w:eastAsia="en-GB"/>
        </w:rPr>
        <w:t>CPRE London is a membership</w:t>
      </w:r>
      <w:r w:rsidR="00CF37A8">
        <w:rPr>
          <w:rFonts w:eastAsia="Times New Roman" w:cstheme="minorHAnsi"/>
          <w:sz w:val="24"/>
          <w:szCs w:val="24"/>
          <w:lang w:eastAsia="en-GB"/>
        </w:rPr>
        <w:t>-</w:t>
      </w:r>
      <w:r>
        <w:rPr>
          <w:rFonts w:eastAsia="Times New Roman" w:cstheme="minorHAnsi"/>
          <w:sz w:val="24"/>
          <w:szCs w:val="24"/>
          <w:lang w:eastAsia="en-GB"/>
        </w:rPr>
        <w:t xml:space="preserve">based charity with 2,500 members across London concerned with environment and planning issues. </w:t>
      </w:r>
    </w:p>
    <w:p w14:paraId="4A2481C7" w14:textId="77777777" w:rsidR="00B15465" w:rsidRDefault="00B15465" w:rsidP="00BD7877">
      <w:pPr>
        <w:spacing w:after="0" w:line="240" w:lineRule="auto"/>
        <w:rPr>
          <w:rFonts w:eastAsia="Times New Roman" w:cstheme="minorHAnsi"/>
          <w:sz w:val="24"/>
          <w:szCs w:val="24"/>
          <w:lang w:eastAsia="en-GB"/>
        </w:rPr>
      </w:pPr>
    </w:p>
    <w:p w14:paraId="6E5D7D2E" w14:textId="5028AC97" w:rsidR="00D92CA9" w:rsidRDefault="00AA788B" w:rsidP="00BD7877">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proposed Green Belt release of 125 hectares </w:t>
      </w:r>
      <w:r w:rsidR="00691098">
        <w:rPr>
          <w:rFonts w:eastAsia="Times New Roman" w:cstheme="minorHAnsi"/>
          <w:sz w:val="24"/>
          <w:szCs w:val="24"/>
          <w:lang w:eastAsia="en-GB"/>
        </w:rPr>
        <w:t>in the London Borough of Hounslow’s West of Borough Local Plan consul</w:t>
      </w:r>
      <w:r w:rsidR="00B81D2B">
        <w:rPr>
          <w:rFonts w:eastAsia="Times New Roman" w:cstheme="minorHAnsi"/>
          <w:sz w:val="24"/>
          <w:szCs w:val="24"/>
          <w:lang w:eastAsia="en-GB"/>
        </w:rPr>
        <w:t>t</w:t>
      </w:r>
      <w:r w:rsidR="00691098">
        <w:rPr>
          <w:rFonts w:eastAsia="Times New Roman" w:cstheme="minorHAnsi"/>
          <w:sz w:val="24"/>
          <w:szCs w:val="24"/>
          <w:lang w:eastAsia="en-GB"/>
        </w:rPr>
        <w:t xml:space="preserve">ation, </w:t>
      </w:r>
      <w:r>
        <w:rPr>
          <w:rFonts w:eastAsia="Times New Roman" w:cstheme="minorHAnsi"/>
          <w:sz w:val="24"/>
          <w:szCs w:val="24"/>
          <w:lang w:eastAsia="en-GB"/>
        </w:rPr>
        <w:t xml:space="preserve">is </w:t>
      </w:r>
      <w:r w:rsidR="00473638">
        <w:rPr>
          <w:rFonts w:eastAsia="Times New Roman" w:cstheme="minorHAnsi"/>
          <w:sz w:val="24"/>
          <w:szCs w:val="24"/>
          <w:lang w:eastAsia="en-GB"/>
        </w:rPr>
        <w:t>unjustified</w:t>
      </w:r>
      <w:r w:rsidR="000D7840">
        <w:rPr>
          <w:rFonts w:eastAsia="Times New Roman" w:cstheme="minorHAnsi"/>
          <w:sz w:val="24"/>
          <w:szCs w:val="24"/>
          <w:lang w:eastAsia="en-GB"/>
        </w:rPr>
        <w:t>,</w:t>
      </w:r>
      <w:r w:rsidR="00D43920">
        <w:rPr>
          <w:rFonts w:eastAsia="Times New Roman" w:cstheme="minorHAnsi"/>
          <w:sz w:val="24"/>
          <w:szCs w:val="24"/>
          <w:lang w:eastAsia="en-GB"/>
        </w:rPr>
        <w:t xml:space="preserve"> unnecessary</w:t>
      </w:r>
      <w:r w:rsidR="000D7840">
        <w:rPr>
          <w:rFonts w:eastAsia="Times New Roman" w:cstheme="minorHAnsi"/>
          <w:sz w:val="24"/>
          <w:szCs w:val="24"/>
          <w:lang w:eastAsia="en-GB"/>
        </w:rPr>
        <w:t xml:space="preserve"> and</w:t>
      </w:r>
      <w:r w:rsidR="00E35113">
        <w:rPr>
          <w:rFonts w:eastAsia="Times New Roman" w:cstheme="minorHAnsi"/>
          <w:sz w:val="24"/>
          <w:szCs w:val="24"/>
          <w:lang w:eastAsia="en-GB"/>
        </w:rPr>
        <w:t xml:space="preserve"> in breach of both London Plan and national planning policy </w:t>
      </w:r>
      <w:r w:rsidR="00473638">
        <w:rPr>
          <w:rFonts w:eastAsia="Times New Roman" w:cstheme="minorHAnsi"/>
          <w:sz w:val="24"/>
          <w:szCs w:val="24"/>
          <w:lang w:eastAsia="en-GB"/>
        </w:rPr>
        <w:t xml:space="preserve">and </w:t>
      </w:r>
      <w:r w:rsidR="00A0509A">
        <w:rPr>
          <w:rFonts w:eastAsia="Times New Roman" w:cstheme="minorHAnsi"/>
          <w:sz w:val="24"/>
          <w:szCs w:val="24"/>
          <w:lang w:eastAsia="en-GB"/>
        </w:rPr>
        <w:t xml:space="preserve">plan is </w:t>
      </w:r>
      <w:r w:rsidR="00CF37A8">
        <w:rPr>
          <w:rFonts w:eastAsia="Times New Roman" w:cstheme="minorHAnsi"/>
          <w:sz w:val="24"/>
          <w:szCs w:val="24"/>
          <w:lang w:eastAsia="en-GB"/>
        </w:rPr>
        <w:t xml:space="preserve">therefore </w:t>
      </w:r>
      <w:r w:rsidR="00A0509A">
        <w:rPr>
          <w:rFonts w:eastAsia="Times New Roman" w:cstheme="minorHAnsi"/>
          <w:sz w:val="24"/>
          <w:szCs w:val="24"/>
          <w:lang w:eastAsia="en-GB"/>
        </w:rPr>
        <w:t xml:space="preserve">unsound. </w:t>
      </w:r>
      <w:r w:rsidR="00B15465">
        <w:rPr>
          <w:rFonts w:eastAsia="Times New Roman" w:cstheme="minorHAnsi"/>
          <w:sz w:val="24"/>
          <w:szCs w:val="24"/>
          <w:lang w:eastAsia="en-GB"/>
        </w:rPr>
        <w:t xml:space="preserve">We </w:t>
      </w:r>
      <w:r w:rsidR="00D92CA9" w:rsidRPr="002156AC">
        <w:rPr>
          <w:rFonts w:eastAsia="Times New Roman" w:cstheme="minorHAnsi"/>
          <w:sz w:val="24"/>
          <w:szCs w:val="24"/>
          <w:lang w:eastAsia="en-GB"/>
        </w:rPr>
        <w:t>strongly oppose the proposed extensive damage to Green Belt which we estimate amounts to loss to development of 10% of Hounslow’s Green Belt</w:t>
      </w:r>
      <w:r w:rsidR="00473638">
        <w:rPr>
          <w:rFonts w:eastAsia="Times New Roman" w:cstheme="minorHAnsi"/>
          <w:sz w:val="24"/>
          <w:szCs w:val="24"/>
          <w:lang w:eastAsia="en-GB"/>
        </w:rPr>
        <w:t xml:space="preserve">. </w:t>
      </w:r>
    </w:p>
    <w:p w14:paraId="1119BC28" w14:textId="23540E91" w:rsidR="00AA788B" w:rsidRDefault="00AA788B" w:rsidP="00BD7877">
      <w:pPr>
        <w:spacing w:after="0" w:line="240" w:lineRule="auto"/>
        <w:rPr>
          <w:rFonts w:eastAsia="Times New Roman" w:cstheme="minorHAnsi"/>
          <w:sz w:val="24"/>
          <w:szCs w:val="24"/>
          <w:lang w:eastAsia="en-GB"/>
        </w:rPr>
      </w:pPr>
    </w:p>
    <w:p w14:paraId="05CA1C46" w14:textId="77777777" w:rsidR="006833AD" w:rsidRDefault="00E70EE3" w:rsidP="00E70EE3">
      <w:pPr>
        <w:pStyle w:val="ListParagraph"/>
        <w:numPr>
          <w:ilvl w:val="0"/>
          <w:numId w:val="3"/>
        </w:numPr>
        <w:spacing w:after="0" w:line="240" w:lineRule="auto"/>
        <w:rPr>
          <w:rFonts w:eastAsia="Times New Roman" w:cstheme="minorHAnsi"/>
          <w:sz w:val="24"/>
          <w:szCs w:val="24"/>
          <w:lang w:eastAsia="en-GB"/>
        </w:rPr>
      </w:pPr>
      <w:r w:rsidRPr="000E7432">
        <w:rPr>
          <w:rFonts w:eastAsia="Times New Roman" w:cstheme="minorHAnsi"/>
          <w:sz w:val="24"/>
          <w:szCs w:val="24"/>
          <w:lang w:eastAsia="en-GB"/>
        </w:rPr>
        <w:t xml:space="preserve">The council has </w:t>
      </w:r>
      <w:r w:rsidRPr="00C40473">
        <w:rPr>
          <w:rFonts w:eastAsia="Times New Roman" w:cstheme="minorHAnsi"/>
          <w:b/>
          <w:bCs/>
          <w:sz w:val="24"/>
          <w:szCs w:val="24"/>
          <w:lang w:eastAsia="en-GB"/>
        </w:rPr>
        <w:t>failed to properly consider</w:t>
      </w:r>
      <w:r w:rsidRPr="000E7432">
        <w:rPr>
          <w:rFonts w:eastAsia="Times New Roman" w:cstheme="minorHAnsi"/>
          <w:sz w:val="24"/>
          <w:szCs w:val="24"/>
          <w:lang w:eastAsia="en-GB"/>
        </w:rPr>
        <w:t xml:space="preserve"> </w:t>
      </w:r>
      <w:r w:rsidRPr="000E7432">
        <w:rPr>
          <w:rFonts w:eastAsia="Times New Roman" w:cstheme="minorHAnsi"/>
          <w:b/>
          <w:bCs/>
          <w:sz w:val="24"/>
          <w:szCs w:val="24"/>
          <w:lang w:eastAsia="en-GB"/>
        </w:rPr>
        <w:t>alternatives</w:t>
      </w:r>
      <w:r w:rsidRPr="000E7432">
        <w:rPr>
          <w:rFonts w:eastAsia="Times New Roman" w:cstheme="minorHAnsi"/>
          <w:sz w:val="24"/>
          <w:szCs w:val="24"/>
          <w:lang w:eastAsia="en-GB"/>
        </w:rPr>
        <w:t xml:space="preserve"> to allocating Green Belt for development </w:t>
      </w:r>
      <w:r>
        <w:rPr>
          <w:rFonts w:eastAsia="Times New Roman" w:cstheme="minorHAnsi"/>
          <w:sz w:val="24"/>
          <w:szCs w:val="24"/>
          <w:lang w:eastAsia="en-GB"/>
        </w:rPr>
        <w:t>as required by the NPPF</w:t>
      </w:r>
      <w:r>
        <w:rPr>
          <w:rStyle w:val="FootnoteReference"/>
          <w:rFonts w:eastAsia="Times New Roman" w:cstheme="minorHAnsi"/>
          <w:sz w:val="24"/>
          <w:szCs w:val="24"/>
          <w:lang w:eastAsia="en-GB"/>
        </w:rPr>
        <w:footnoteReference w:id="1"/>
      </w:r>
      <w:r>
        <w:rPr>
          <w:rFonts w:eastAsia="Times New Roman" w:cstheme="minorHAnsi"/>
          <w:sz w:val="24"/>
          <w:szCs w:val="24"/>
          <w:lang w:eastAsia="en-GB"/>
        </w:rPr>
        <w:t xml:space="preserve"> </w:t>
      </w:r>
      <w:r w:rsidRPr="000E7432">
        <w:rPr>
          <w:rFonts w:eastAsia="Times New Roman" w:cstheme="minorHAnsi"/>
          <w:sz w:val="24"/>
          <w:szCs w:val="24"/>
          <w:lang w:eastAsia="en-GB"/>
        </w:rPr>
        <w:t xml:space="preserve">and, specifically, it has failed to demonstrate why it does not consider </w:t>
      </w:r>
    </w:p>
    <w:p w14:paraId="240AFE45" w14:textId="77777777" w:rsidR="006833AD" w:rsidRDefault="00E70EE3" w:rsidP="006833AD">
      <w:pPr>
        <w:pStyle w:val="ListParagraph"/>
        <w:numPr>
          <w:ilvl w:val="1"/>
          <w:numId w:val="3"/>
        </w:numPr>
        <w:spacing w:after="0" w:line="240" w:lineRule="auto"/>
        <w:rPr>
          <w:rFonts w:eastAsia="Times New Roman" w:cstheme="minorHAnsi"/>
          <w:sz w:val="24"/>
          <w:szCs w:val="24"/>
          <w:lang w:eastAsia="en-GB"/>
        </w:rPr>
      </w:pPr>
      <w:r w:rsidRPr="000E7432">
        <w:rPr>
          <w:rFonts w:eastAsia="Times New Roman" w:cstheme="minorHAnsi"/>
          <w:sz w:val="24"/>
          <w:szCs w:val="24"/>
          <w:lang w:eastAsia="en-GB"/>
        </w:rPr>
        <w:t xml:space="preserve">intensification of existing industrial estates nearby to Heathrow </w:t>
      </w:r>
      <w:r>
        <w:rPr>
          <w:rFonts w:eastAsia="Times New Roman" w:cstheme="minorHAnsi"/>
          <w:sz w:val="24"/>
          <w:szCs w:val="24"/>
          <w:lang w:eastAsia="en-GB"/>
        </w:rPr>
        <w:t xml:space="preserve"> </w:t>
      </w:r>
    </w:p>
    <w:p w14:paraId="52A40D8E" w14:textId="25DE94DA" w:rsidR="006833AD" w:rsidRDefault="00E70EE3" w:rsidP="006833AD">
      <w:pPr>
        <w:pStyle w:val="ListParagraph"/>
        <w:numPr>
          <w:ilvl w:val="1"/>
          <w:numId w:val="3"/>
        </w:numPr>
        <w:spacing w:after="0" w:line="240" w:lineRule="auto"/>
        <w:rPr>
          <w:rFonts w:eastAsia="Times New Roman" w:cstheme="minorHAnsi"/>
          <w:sz w:val="24"/>
          <w:szCs w:val="24"/>
          <w:lang w:eastAsia="en-GB"/>
        </w:rPr>
      </w:pPr>
      <w:r w:rsidRPr="000E7432">
        <w:rPr>
          <w:rFonts w:eastAsia="Times New Roman" w:cstheme="minorHAnsi"/>
          <w:sz w:val="24"/>
          <w:szCs w:val="24"/>
          <w:lang w:eastAsia="en-GB"/>
        </w:rPr>
        <w:t xml:space="preserve">higher density </w:t>
      </w:r>
      <w:r w:rsidR="00F63E77">
        <w:rPr>
          <w:rFonts w:eastAsia="Times New Roman" w:cstheme="minorHAnsi"/>
          <w:sz w:val="24"/>
          <w:szCs w:val="24"/>
          <w:lang w:eastAsia="en-GB"/>
        </w:rPr>
        <w:t>on sites identified for housing</w:t>
      </w:r>
      <w:r>
        <w:rPr>
          <w:rFonts w:eastAsia="Times New Roman" w:cstheme="minorHAnsi"/>
          <w:sz w:val="24"/>
          <w:szCs w:val="24"/>
          <w:lang w:eastAsia="en-GB"/>
        </w:rPr>
        <w:t xml:space="preserve"> </w:t>
      </w:r>
    </w:p>
    <w:p w14:paraId="3A4EFF17" w14:textId="77777777" w:rsidR="006833AD" w:rsidRDefault="00E70EE3" w:rsidP="006833AD">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other sites in the borough which are either in need of regeneration or which make poor use of space and </w:t>
      </w:r>
    </w:p>
    <w:p w14:paraId="4B1D6F6E" w14:textId="77777777" w:rsidR="006833AD" w:rsidRDefault="006833AD" w:rsidP="006833AD">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E70EE3">
        <w:rPr>
          <w:rFonts w:eastAsia="Times New Roman" w:cstheme="minorHAnsi"/>
          <w:sz w:val="24"/>
          <w:szCs w:val="24"/>
          <w:lang w:eastAsia="en-GB"/>
        </w:rPr>
        <w:t>he potential for use of sites in neighbouring borough Hillingdon, especially extensive surface car parking space</w:t>
      </w:r>
      <w:r w:rsidR="00E70EE3" w:rsidRPr="000E7432">
        <w:rPr>
          <w:rFonts w:eastAsia="Times New Roman" w:cstheme="minorHAnsi"/>
          <w:sz w:val="24"/>
          <w:szCs w:val="24"/>
          <w:lang w:eastAsia="en-GB"/>
        </w:rPr>
        <w:t xml:space="preserve">, </w:t>
      </w:r>
    </w:p>
    <w:p w14:paraId="44ABBB76" w14:textId="5C78A823" w:rsidR="00E70EE3" w:rsidRPr="006833AD" w:rsidRDefault="00E70EE3" w:rsidP="006833AD">
      <w:pPr>
        <w:spacing w:after="0" w:line="240" w:lineRule="auto"/>
        <w:ind w:firstLine="360"/>
        <w:rPr>
          <w:rFonts w:eastAsia="Times New Roman" w:cstheme="minorHAnsi"/>
          <w:sz w:val="24"/>
          <w:szCs w:val="24"/>
          <w:lang w:eastAsia="en-GB"/>
        </w:rPr>
      </w:pPr>
      <w:r w:rsidRPr="006833AD">
        <w:rPr>
          <w:rFonts w:eastAsia="Times New Roman" w:cstheme="minorHAnsi"/>
          <w:sz w:val="24"/>
          <w:szCs w:val="24"/>
          <w:lang w:eastAsia="en-GB"/>
        </w:rPr>
        <w:t xml:space="preserve">as more sustainable alternatives to releasing Green Belt. </w:t>
      </w:r>
    </w:p>
    <w:p w14:paraId="13B408C6" w14:textId="4D9E6229" w:rsidR="00BD4032" w:rsidRPr="00050CF5" w:rsidRDefault="004C3208" w:rsidP="00050CF5">
      <w:pPr>
        <w:pStyle w:val="ListParagraph"/>
        <w:numPr>
          <w:ilvl w:val="0"/>
          <w:numId w:val="3"/>
        </w:numPr>
        <w:spacing w:after="0" w:line="240" w:lineRule="auto"/>
        <w:rPr>
          <w:rFonts w:eastAsia="Times New Roman" w:cstheme="minorHAnsi"/>
          <w:sz w:val="24"/>
          <w:szCs w:val="24"/>
          <w:lang w:eastAsia="en-GB"/>
        </w:rPr>
      </w:pPr>
      <w:r w:rsidRPr="004C3208">
        <w:rPr>
          <w:rFonts w:eastAsia="Times New Roman" w:cstheme="minorHAnsi"/>
          <w:b/>
          <w:bCs/>
          <w:sz w:val="24"/>
          <w:szCs w:val="24"/>
          <w:lang w:eastAsia="en-GB"/>
        </w:rPr>
        <w:t>T</w:t>
      </w:r>
      <w:r w:rsidR="003F67D8" w:rsidRPr="00050CF5">
        <w:rPr>
          <w:rFonts w:eastAsia="Times New Roman" w:cstheme="minorHAnsi"/>
          <w:b/>
          <w:bCs/>
          <w:sz w:val="24"/>
          <w:szCs w:val="24"/>
          <w:lang w:eastAsia="en-GB"/>
        </w:rPr>
        <w:t xml:space="preserve">he </w:t>
      </w:r>
      <w:r w:rsidR="0065428B" w:rsidRPr="00050CF5">
        <w:rPr>
          <w:rFonts w:eastAsia="Times New Roman" w:cstheme="minorHAnsi"/>
          <w:b/>
          <w:bCs/>
          <w:sz w:val="24"/>
          <w:szCs w:val="24"/>
          <w:lang w:eastAsia="en-GB"/>
        </w:rPr>
        <w:t>conclusions of the</w:t>
      </w:r>
      <w:r w:rsidR="004006E0" w:rsidRPr="00050CF5">
        <w:rPr>
          <w:rFonts w:eastAsia="Times New Roman" w:cstheme="minorHAnsi"/>
          <w:sz w:val="24"/>
          <w:szCs w:val="24"/>
          <w:lang w:eastAsia="en-GB"/>
        </w:rPr>
        <w:t xml:space="preserve"> </w:t>
      </w:r>
      <w:r w:rsidR="00B81D2B" w:rsidRPr="00B81D2B">
        <w:rPr>
          <w:rFonts w:eastAsia="Times New Roman" w:cstheme="minorHAnsi"/>
          <w:b/>
          <w:bCs/>
          <w:sz w:val="24"/>
          <w:szCs w:val="24"/>
          <w:lang w:eastAsia="en-GB"/>
        </w:rPr>
        <w:t>Borough’s</w:t>
      </w:r>
      <w:r w:rsidR="00B81D2B">
        <w:rPr>
          <w:rFonts w:eastAsia="Times New Roman" w:cstheme="minorHAnsi"/>
          <w:sz w:val="24"/>
          <w:szCs w:val="24"/>
          <w:lang w:eastAsia="en-GB"/>
        </w:rPr>
        <w:t xml:space="preserve"> </w:t>
      </w:r>
      <w:r w:rsidR="004006E0" w:rsidRPr="00050CF5">
        <w:rPr>
          <w:rFonts w:eastAsia="Times New Roman" w:cstheme="minorHAnsi"/>
          <w:b/>
          <w:bCs/>
          <w:sz w:val="24"/>
          <w:szCs w:val="24"/>
          <w:lang w:eastAsia="en-GB"/>
        </w:rPr>
        <w:t xml:space="preserve">Green Belt Review </w:t>
      </w:r>
      <w:r>
        <w:rPr>
          <w:rFonts w:eastAsia="Times New Roman" w:cstheme="minorHAnsi"/>
          <w:b/>
          <w:bCs/>
          <w:sz w:val="24"/>
          <w:szCs w:val="24"/>
          <w:lang w:eastAsia="en-GB"/>
        </w:rPr>
        <w:t xml:space="preserve">are unsound </w:t>
      </w:r>
      <w:r w:rsidR="003654C1">
        <w:rPr>
          <w:rFonts w:eastAsia="Times New Roman" w:cstheme="minorHAnsi"/>
          <w:b/>
          <w:bCs/>
          <w:sz w:val="24"/>
          <w:szCs w:val="24"/>
          <w:lang w:eastAsia="en-GB"/>
        </w:rPr>
        <w:t xml:space="preserve">because the Green </w:t>
      </w:r>
      <w:r w:rsidR="003F67D8" w:rsidRPr="00050CF5">
        <w:rPr>
          <w:rFonts w:eastAsia="Times New Roman" w:cstheme="minorHAnsi"/>
          <w:b/>
          <w:bCs/>
          <w:sz w:val="24"/>
          <w:szCs w:val="24"/>
          <w:lang w:eastAsia="en-GB"/>
        </w:rPr>
        <w:t xml:space="preserve">Belt </w:t>
      </w:r>
      <w:r w:rsidR="003654C1">
        <w:rPr>
          <w:rFonts w:eastAsia="Times New Roman" w:cstheme="minorHAnsi"/>
          <w:b/>
          <w:bCs/>
          <w:sz w:val="24"/>
          <w:szCs w:val="24"/>
          <w:lang w:eastAsia="en-GB"/>
        </w:rPr>
        <w:t xml:space="preserve">sites which Hounslow proposes to release </w:t>
      </w:r>
      <w:r w:rsidR="003654C1" w:rsidRPr="003654C1">
        <w:rPr>
          <w:rFonts w:eastAsia="Times New Roman" w:cstheme="minorHAnsi"/>
          <w:b/>
          <w:bCs/>
          <w:sz w:val="24"/>
          <w:szCs w:val="24"/>
          <w:u w:val="single"/>
          <w:lang w:eastAsia="en-GB"/>
        </w:rPr>
        <w:t>do</w:t>
      </w:r>
      <w:r w:rsidR="003654C1">
        <w:rPr>
          <w:rFonts w:eastAsia="Times New Roman" w:cstheme="minorHAnsi"/>
          <w:b/>
          <w:bCs/>
          <w:sz w:val="24"/>
          <w:szCs w:val="24"/>
          <w:lang w:eastAsia="en-GB"/>
        </w:rPr>
        <w:t xml:space="preserve"> meet </w:t>
      </w:r>
      <w:r w:rsidR="00BE6C52" w:rsidRPr="00050CF5">
        <w:rPr>
          <w:rFonts w:eastAsia="Times New Roman" w:cstheme="minorHAnsi"/>
          <w:b/>
          <w:bCs/>
          <w:sz w:val="24"/>
          <w:szCs w:val="24"/>
          <w:lang w:eastAsia="en-GB"/>
        </w:rPr>
        <w:t xml:space="preserve">the </w:t>
      </w:r>
      <w:r w:rsidR="003654C1">
        <w:rPr>
          <w:rFonts w:eastAsia="Times New Roman" w:cstheme="minorHAnsi"/>
          <w:b/>
          <w:bCs/>
          <w:sz w:val="24"/>
          <w:szCs w:val="24"/>
          <w:lang w:eastAsia="en-GB"/>
        </w:rPr>
        <w:t xml:space="preserve">Green Belt </w:t>
      </w:r>
      <w:r w:rsidR="00BE6C52" w:rsidRPr="00050CF5">
        <w:rPr>
          <w:rFonts w:eastAsia="Times New Roman" w:cstheme="minorHAnsi"/>
          <w:b/>
          <w:bCs/>
          <w:sz w:val="24"/>
          <w:szCs w:val="24"/>
          <w:lang w:eastAsia="en-GB"/>
        </w:rPr>
        <w:t>purposes</w:t>
      </w:r>
      <w:r w:rsidR="003F67D8" w:rsidRPr="00050CF5">
        <w:rPr>
          <w:rFonts w:eastAsia="Times New Roman" w:cstheme="minorHAnsi"/>
          <w:b/>
          <w:bCs/>
          <w:sz w:val="24"/>
          <w:szCs w:val="24"/>
          <w:lang w:eastAsia="en-GB"/>
        </w:rPr>
        <w:t xml:space="preserve">. </w:t>
      </w:r>
      <w:r w:rsidR="003F67D8" w:rsidRPr="00050CF5">
        <w:rPr>
          <w:rFonts w:eastAsia="Times New Roman" w:cstheme="minorHAnsi"/>
          <w:sz w:val="24"/>
          <w:szCs w:val="24"/>
          <w:lang w:eastAsia="en-GB"/>
        </w:rPr>
        <w:t xml:space="preserve">The conclusions </w:t>
      </w:r>
      <w:r w:rsidR="00461F2E">
        <w:rPr>
          <w:rFonts w:eastAsia="Times New Roman" w:cstheme="minorHAnsi"/>
          <w:sz w:val="24"/>
          <w:szCs w:val="24"/>
          <w:lang w:eastAsia="en-GB"/>
        </w:rPr>
        <w:t xml:space="preserve">of the </w:t>
      </w:r>
      <w:r w:rsidR="001F0A79">
        <w:rPr>
          <w:rFonts w:eastAsia="Times New Roman" w:cstheme="minorHAnsi"/>
          <w:sz w:val="24"/>
          <w:szCs w:val="24"/>
          <w:lang w:eastAsia="en-GB"/>
        </w:rPr>
        <w:t xml:space="preserve">most recent </w:t>
      </w:r>
      <w:r w:rsidR="00461F2E">
        <w:rPr>
          <w:rFonts w:eastAsia="Times New Roman" w:cstheme="minorHAnsi"/>
          <w:sz w:val="24"/>
          <w:szCs w:val="24"/>
          <w:lang w:eastAsia="en-GB"/>
        </w:rPr>
        <w:t xml:space="preserve">review </w:t>
      </w:r>
      <w:r w:rsidR="0065428B" w:rsidRPr="00050CF5">
        <w:rPr>
          <w:rFonts w:eastAsia="Times New Roman" w:cstheme="minorHAnsi"/>
          <w:sz w:val="24"/>
          <w:szCs w:val="24"/>
          <w:lang w:eastAsia="en-GB"/>
        </w:rPr>
        <w:t>are</w:t>
      </w:r>
      <w:r w:rsidR="004006E0" w:rsidRPr="00050CF5">
        <w:rPr>
          <w:rFonts w:eastAsia="Times New Roman" w:cstheme="minorHAnsi"/>
          <w:sz w:val="24"/>
          <w:szCs w:val="24"/>
          <w:lang w:eastAsia="en-GB"/>
        </w:rPr>
        <w:t xml:space="preserve"> highly subjective</w:t>
      </w:r>
      <w:r w:rsidR="00C315EA" w:rsidRPr="00050CF5">
        <w:rPr>
          <w:rFonts w:eastAsia="Times New Roman" w:cstheme="minorHAnsi"/>
          <w:sz w:val="24"/>
          <w:szCs w:val="24"/>
          <w:lang w:eastAsia="en-GB"/>
        </w:rPr>
        <w:t xml:space="preserve"> and contradict </w:t>
      </w:r>
      <w:r w:rsidR="003F67D8" w:rsidRPr="00050CF5">
        <w:rPr>
          <w:rFonts w:eastAsia="Times New Roman" w:cstheme="minorHAnsi"/>
          <w:sz w:val="24"/>
          <w:szCs w:val="24"/>
          <w:lang w:eastAsia="en-GB"/>
        </w:rPr>
        <w:t xml:space="preserve">even </w:t>
      </w:r>
      <w:r w:rsidR="00C315EA" w:rsidRPr="00050CF5">
        <w:rPr>
          <w:rFonts w:eastAsia="Times New Roman" w:cstheme="minorHAnsi"/>
          <w:sz w:val="24"/>
          <w:szCs w:val="24"/>
          <w:lang w:eastAsia="en-GB"/>
        </w:rPr>
        <w:t>th</w:t>
      </w:r>
      <w:r w:rsidR="004006E0" w:rsidRPr="00050CF5">
        <w:rPr>
          <w:rFonts w:eastAsia="Times New Roman" w:cstheme="minorHAnsi"/>
          <w:sz w:val="24"/>
          <w:szCs w:val="24"/>
          <w:lang w:eastAsia="en-GB"/>
        </w:rPr>
        <w:t xml:space="preserve">e council’s own </w:t>
      </w:r>
      <w:r w:rsidR="00C315EA" w:rsidRPr="00050CF5">
        <w:rPr>
          <w:rFonts w:eastAsia="Times New Roman" w:cstheme="minorHAnsi"/>
          <w:sz w:val="24"/>
          <w:szCs w:val="24"/>
          <w:lang w:eastAsia="en-GB"/>
        </w:rPr>
        <w:t xml:space="preserve">previous review which </w:t>
      </w:r>
      <w:r w:rsidR="00BE6C52" w:rsidRPr="00050CF5">
        <w:rPr>
          <w:rFonts w:eastAsia="Times New Roman" w:cstheme="minorHAnsi"/>
          <w:sz w:val="24"/>
          <w:szCs w:val="24"/>
          <w:lang w:eastAsia="en-GB"/>
        </w:rPr>
        <w:t xml:space="preserve">concluded that all Green Belt sites in Hounslow </w:t>
      </w:r>
      <w:r w:rsidR="000E7E3E">
        <w:rPr>
          <w:rFonts w:eastAsia="Times New Roman" w:cstheme="minorHAnsi"/>
          <w:sz w:val="24"/>
          <w:szCs w:val="24"/>
          <w:lang w:eastAsia="en-GB"/>
        </w:rPr>
        <w:t>met Green Belt purposes</w:t>
      </w:r>
      <w:r w:rsidR="00C315EA" w:rsidRPr="00050CF5">
        <w:rPr>
          <w:rFonts w:eastAsia="Times New Roman" w:cstheme="minorHAnsi"/>
          <w:sz w:val="24"/>
          <w:szCs w:val="24"/>
          <w:lang w:eastAsia="en-GB"/>
        </w:rPr>
        <w:t xml:space="preserve">. The review </w:t>
      </w:r>
      <w:r w:rsidR="00B06DFA">
        <w:rPr>
          <w:rFonts w:eastAsia="Times New Roman" w:cstheme="minorHAnsi"/>
          <w:sz w:val="24"/>
          <w:szCs w:val="24"/>
          <w:lang w:eastAsia="en-GB"/>
        </w:rPr>
        <w:t>seems to ha</w:t>
      </w:r>
      <w:r w:rsidR="009E2BA7">
        <w:rPr>
          <w:rFonts w:eastAsia="Times New Roman" w:cstheme="minorHAnsi"/>
          <w:sz w:val="24"/>
          <w:szCs w:val="24"/>
          <w:lang w:eastAsia="en-GB"/>
        </w:rPr>
        <w:t>ve</w:t>
      </w:r>
      <w:r w:rsidR="00B06DFA">
        <w:rPr>
          <w:rFonts w:eastAsia="Times New Roman" w:cstheme="minorHAnsi"/>
          <w:sz w:val="24"/>
          <w:szCs w:val="24"/>
          <w:lang w:eastAsia="en-GB"/>
        </w:rPr>
        <w:t xml:space="preserve"> </w:t>
      </w:r>
      <w:r w:rsidR="00C315EA" w:rsidRPr="00050CF5">
        <w:rPr>
          <w:rFonts w:eastAsia="Times New Roman" w:cstheme="minorHAnsi"/>
          <w:sz w:val="24"/>
          <w:szCs w:val="24"/>
          <w:lang w:eastAsia="en-GB"/>
        </w:rPr>
        <w:t xml:space="preserve">been conducted to </w:t>
      </w:r>
      <w:r w:rsidR="00523033" w:rsidRPr="00050CF5">
        <w:rPr>
          <w:rFonts w:eastAsia="Times New Roman" w:cstheme="minorHAnsi"/>
          <w:sz w:val="24"/>
          <w:szCs w:val="24"/>
          <w:lang w:eastAsia="en-GB"/>
        </w:rPr>
        <w:t>identify land for development</w:t>
      </w:r>
      <w:r w:rsidR="00B06DFA">
        <w:rPr>
          <w:rFonts w:eastAsia="Times New Roman" w:cstheme="minorHAnsi"/>
          <w:sz w:val="24"/>
          <w:szCs w:val="24"/>
          <w:lang w:eastAsia="en-GB"/>
        </w:rPr>
        <w:t xml:space="preserve"> rather than make an objective assessment of Green Belt. </w:t>
      </w:r>
    </w:p>
    <w:p w14:paraId="0D9C4287" w14:textId="586445D6" w:rsidR="0051047D" w:rsidRDefault="000C6803" w:rsidP="00675EEC">
      <w:pPr>
        <w:pStyle w:val="ListParagraph"/>
        <w:numPr>
          <w:ilvl w:val="0"/>
          <w:numId w:val="3"/>
        </w:numPr>
        <w:spacing w:after="0" w:line="240" w:lineRule="auto"/>
        <w:rPr>
          <w:rFonts w:eastAsia="Times New Roman" w:cstheme="minorHAnsi"/>
          <w:sz w:val="24"/>
          <w:szCs w:val="24"/>
          <w:lang w:eastAsia="en-GB"/>
        </w:rPr>
      </w:pPr>
      <w:r w:rsidRPr="00DE3F3B">
        <w:rPr>
          <w:rFonts w:eastAsia="Times New Roman" w:cstheme="minorHAnsi"/>
          <w:b/>
          <w:bCs/>
          <w:sz w:val="24"/>
          <w:szCs w:val="24"/>
          <w:lang w:eastAsia="en-GB"/>
        </w:rPr>
        <w:lastRenderedPageBreak/>
        <w:t xml:space="preserve">The </w:t>
      </w:r>
      <w:r w:rsidR="00DE3F3B" w:rsidRPr="00DE3F3B">
        <w:rPr>
          <w:rFonts w:eastAsia="Times New Roman" w:cstheme="minorHAnsi"/>
          <w:b/>
          <w:bCs/>
          <w:sz w:val="24"/>
          <w:szCs w:val="24"/>
          <w:lang w:eastAsia="en-GB"/>
        </w:rPr>
        <w:t xml:space="preserve">council has not justified development </w:t>
      </w:r>
      <w:r w:rsidRPr="00DE3F3B">
        <w:rPr>
          <w:rFonts w:eastAsia="Times New Roman" w:cstheme="minorHAnsi"/>
          <w:b/>
          <w:bCs/>
          <w:sz w:val="24"/>
          <w:szCs w:val="24"/>
          <w:lang w:eastAsia="en-GB"/>
        </w:rPr>
        <w:t>on Green Belt sites</w:t>
      </w:r>
      <w:r w:rsidR="00DE3F3B" w:rsidRPr="00DE3F3B">
        <w:rPr>
          <w:rFonts w:eastAsia="Times New Roman" w:cstheme="minorHAnsi"/>
          <w:b/>
          <w:bCs/>
          <w:sz w:val="24"/>
          <w:szCs w:val="24"/>
          <w:lang w:eastAsia="en-GB"/>
        </w:rPr>
        <w:t xml:space="preserve"> in</w:t>
      </w:r>
      <w:r w:rsidR="009560DB">
        <w:rPr>
          <w:rFonts w:eastAsia="Times New Roman" w:cstheme="minorHAnsi"/>
          <w:b/>
          <w:bCs/>
          <w:sz w:val="24"/>
          <w:szCs w:val="24"/>
          <w:lang w:eastAsia="en-GB"/>
        </w:rPr>
        <w:t xml:space="preserve"> terms of</w:t>
      </w:r>
      <w:r w:rsidR="00DE3F3B" w:rsidRPr="00DE3F3B">
        <w:rPr>
          <w:rFonts w:eastAsia="Times New Roman" w:cstheme="minorHAnsi"/>
          <w:b/>
          <w:bCs/>
          <w:sz w:val="24"/>
          <w:szCs w:val="24"/>
          <w:lang w:eastAsia="en-GB"/>
        </w:rPr>
        <w:t xml:space="preserve"> sustainable development</w:t>
      </w:r>
      <w:r w:rsidRPr="00DE3F3B">
        <w:rPr>
          <w:rFonts w:eastAsia="Times New Roman" w:cstheme="minorHAnsi"/>
          <w:b/>
          <w:bCs/>
          <w:sz w:val="24"/>
          <w:szCs w:val="24"/>
          <w:lang w:eastAsia="en-GB"/>
        </w:rPr>
        <w:t>.</w:t>
      </w:r>
      <w:r>
        <w:rPr>
          <w:rFonts w:eastAsia="Times New Roman" w:cstheme="minorHAnsi"/>
          <w:sz w:val="24"/>
          <w:szCs w:val="24"/>
          <w:lang w:eastAsia="en-GB"/>
        </w:rPr>
        <w:t xml:space="preserve"> </w:t>
      </w:r>
      <w:r w:rsidR="00675EEC">
        <w:rPr>
          <w:rFonts w:eastAsia="Times New Roman" w:cstheme="minorHAnsi"/>
          <w:sz w:val="24"/>
          <w:szCs w:val="24"/>
          <w:lang w:eastAsia="en-GB"/>
        </w:rPr>
        <w:t>No clear assessment has weigh</w:t>
      </w:r>
      <w:r w:rsidR="001F0A79">
        <w:rPr>
          <w:rFonts w:eastAsia="Times New Roman" w:cstheme="minorHAnsi"/>
          <w:sz w:val="24"/>
          <w:szCs w:val="24"/>
          <w:lang w:eastAsia="en-GB"/>
        </w:rPr>
        <w:t>ed</w:t>
      </w:r>
      <w:r w:rsidR="00675EEC">
        <w:rPr>
          <w:rFonts w:eastAsia="Times New Roman" w:cstheme="minorHAnsi"/>
          <w:sz w:val="24"/>
          <w:szCs w:val="24"/>
          <w:lang w:eastAsia="en-GB"/>
        </w:rPr>
        <w:t xml:space="preserve"> up the impact of the substantial proposed damage to Green Belt against potential gain</w:t>
      </w:r>
      <w:r w:rsidR="00501299">
        <w:rPr>
          <w:rFonts w:eastAsia="Times New Roman" w:cstheme="minorHAnsi"/>
          <w:sz w:val="24"/>
          <w:szCs w:val="24"/>
          <w:lang w:eastAsia="en-GB"/>
        </w:rPr>
        <w:t xml:space="preserve"> so it is not possible to make a judgement about whether the loss of Green Belt demonstrates ‘sustainable development’ as required by the NPPF</w:t>
      </w:r>
      <w:r w:rsidR="00675EEC">
        <w:rPr>
          <w:rFonts w:eastAsia="Times New Roman" w:cstheme="minorHAnsi"/>
          <w:sz w:val="24"/>
          <w:szCs w:val="24"/>
          <w:lang w:eastAsia="en-GB"/>
        </w:rPr>
        <w:t xml:space="preserve">. </w:t>
      </w:r>
      <w:r w:rsidR="00CC3191">
        <w:rPr>
          <w:rFonts w:eastAsia="Times New Roman" w:cstheme="minorHAnsi"/>
          <w:sz w:val="24"/>
          <w:szCs w:val="24"/>
          <w:lang w:eastAsia="en-GB"/>
        </w:rPr>
        <w:t xml:space="preserve">Additionally, </w:t>
      </w:r>
      <w:r w:rsidR="00CC3191">
        <w:rPr>
          <w:rFonts w:eastAsia="Times New Roman" w:cstheme="minorHAnsi"/>
          <w:b/>
          <w:bCs/>
          <w:sz w:val="24"/>
          <w:szCs w:val="24"/>
          <w:lang w:eastAsia="en-GB"/>
        </w:rPr>
        <w:t>t</w:t>
      </w:r>
      <w:r w:rsidR="00E14FF0" w:rsidRPr="00675EEC">
        <w:rPr>
          <w:rFonts w:eastAsia="Times New Roman" w:cstheme="minorHAnsi"/>
          <w:b/>
          <w:bCs/>
          <w:sz w:val="24"/>
          <w:szCs w:val="24"/>
          <w:lang w:eastAsia="en-GB"/>
        </w:rPr>
        <w:t xml:space="preserve">he </w:t>
      </w:r>
      <w:r w:rsidR="00322416" w:rsidRPr="00675EEC">
        <w:rPr>
          <w:rFonts w:eastAsia="Times New Roman" w:cstheme="minorHAnsi"/>
          <w:b/>
          <w:bCs/>
          <w:sz w:val="24"/>
          <w:szCs w:val="24"/>
          <w:lang w:eastAsia="en-GB"/>
        </w:rPr>
        <w:t xml:space="preserve">council’s </w:t>
      </w:r>
      <w:r w:rsidR="00E14FF0" w:rsidRPr="00675EEC">
        <w:rPr>
          <w:rFonts w:eastAsia="Times New Roman" w:cstheme="minorHAnsi"/>
          <w:b/>
          <w:bCs/>
          <w:sz w:val="24"/>
          <w:szCs w:val="24"/>
          <w:lang w:eastAsia="en-GB"/>
        </w:rPr>
        <w:t xml:space="preserve">assessment of </w:t>
      </w:r>
      <w:r w:rsidR="00322416" w:rsidRPr="00675EEC">
        <w:rPr>
          <w:rFonts w:eastAsia="Times New Roman" w:cstheme="minorHAnsi"/>
          <w:b/>
          <w:bCs/>
          <w:sz w:val="24"/>
          <w:szCs w:val="24"/>
          <w:lang w:eastAsia="en-GB"/>
        </w:rPr>
        <w:t xml:space="preserve">the </w:t>
      </w:r>
      <w:r w:rsidR="00E14FF0" w:rsidRPr="00675EEC">
        <w:rPr>
          <w:rFonts w:eastAsia="Times New Roman" w:cstheme="minorHAnsi"/>
          <w:b/>
          <w:bCs/>
          <w:sz w:val="24"/>
          <w:szCs w:val="24"/>
          <w:lang w:eastAsia="en-GB"/>
        </w:rPr>
        <w:t xml:space="preserve">‘value’ of the Green Belt land is </w:t>
      </w:r>
      <w:r w:rsidR="008A6006" w:rsidRPr="00675EEC">
        <w:rPr>
          <w:rFonts w:eastAsia="Times New Roman" w:cstheme="minorHAnsi"/>
          <w:b/>
          <w:bCs/>
          <w:sz w:val="24"/>
          <w:szCs w:val="24"/>
          <w:lang w:eastAsia="en-GB"/>
        </w:rPr>
        <w:t xml:space="preserve">invalid. </w:t>
      </w:r>
      <w:r w:rsidR="009A7C89" w:rsidRPr="00675EEC">
        <w:rPr>
          <w:rFonts w:eastAsia="Times New Roman" w:cstheme="minorHAnsi"/>
          <w:sz w:val="24"/>
          <w:szCs w:val="24"/>
          <w:lang w:eastAsia="en-GB"/>
        </w:rPr>
        <w:t>T</w:t>
      </w:r>
      <w:r w:rsidR="003815D9" w:rsidRPr="00675EEC">
        <w:rPr>
          <w:rFonts w:eastAsia="Times New Roman" w:cstheme="minorHAnsi"/>
          <w:sz w:val="24"/>
          <w:szCs w:val="24"/>
          <w:lang w:eastAsia="en-GB"/>
        </w:rPr>
        <w:t xml:space="preserve">he borough has sought </w:t>
      </w:r>
      <w:r w:rsidR="008A6006" w:rsidRPr="00675EEC">
        <w:rPr>
          <w:rFonts w:eastAsia="Times New Roman" w:cstheme="minorHAnsi"/>
          <w:sz w:val="24"/>
          <w:szCs w:val="24"/>
          <w:lang w:eastAsia="en-GB"/>
        </w:rPr>
        <w:t xml:space="preserve">to </w:t>
      </w:r>
      <w:r w:rsidR="003815D9" w:rsidRPr="00675EEC">
        <w:rPr>
          <w:rFonts w:eastAsia="Times New Roman" w:cstheme="minorHAnsi"/>
          <w:sz w:val="24"/>
          <w:szCs w:val="24"/>
          <w:lang w:eastAsia="en-GB"/>
        </w:rPr>
        <w:t>present the</w:t>
      </w:r>
      <w:r w:rsidR="007A5A4B" w:rsidRPr="00675EEC">
        <w:rPr>
          <w:rFonts w:eastAsia="Times New Roman" w:cstheme="minorHAnsi"/>
          <w:sz w:val="24"/>
          <w:szCs w:val="24"/>
          <w:lang w:eastAsia="en-GB"/>
        </w:rPr>
        <w:t xml:space="preserve"> large</w:t>
      </w:r>
      <w:r w:rsidR="003815D9" w:rsidRPr="00675EEC">
        <w:rPr>
          <w:rFonts w:eastAsia="Times New Roman" w:cstheme="minorHAnsi"/>
          <w:sz w:val="24"/>
          <w:szCs w:val="24"/>
          <w:lang w:eastAsia="en-GB"/>
        </w:rPr>
        <w:t xml:space="preserve"> pieces of </w:t>
      </w:r>
      <w:r w:rsidR="007A5A4B" w:rsidRPr="00675EEC">
        <w:rPr>
          <w:rFonts w:eastAsia="Times New Roman" w:cstheme="minorHAnsi"/>
          <w:sz w:val="24"/>
          <w:szCs w:val="24"/>
          <w:lang w:eastAsia="en-GB"/>
        </w:rPr>
        <w:t xml:space="preserve">Green Belt </w:t>
      </w:r>
      <w:r w:rsidR="003815D9" w:rsidRPr="00675EEC">
        <w:rPr>
          <w:rFonts w:eastAsia="Times New Roman" w:cstheme="minorHAnsi"/>
          <w:sz w:val="24"/>
          <w:szCs w:val="24"/>
          <w:lang w:eastAsia="en-GB"/>
        </w:rPr>
        <w:t xml:space="preserve">land </w:t>
      </w:r>
      <w:r w:rsidR="007A5A4B" w:rsidRPr="00675EEC">
        <w:rPr>
          <w:rFonts w:eastAsia="Times New Roman" w:cstheme="minorHAnsi"/>
          <w:sz w:val="24"/>
          <w:szCs w:val="24"/>
          <w:lang w:eastAsia="en-GB"/>
        </w:rPr>
        <w:t xml:space="preserve">which it wishes to release for development </w:t>
      </w:r>
      <w:r w:rsidR="003815D9" w:rsidRPr="00675EEC">
        <w:rPr>
          <w:rFonts w:eastAsia="Times New Roman" w:cstheme="minorHAnsi"/>
          <w:sz w:val="24"/>
          <w:szCs w:val="24"/>
          <w:lang w:eastAsia="en-GB"/>
        </w:rPr>
        <w:t>as low value</w:t>
      </w:r>
      <w:r w:rsidR="007A5A4B" w:rsidRPr="00675EEC">
        <w:rPr>
          <w:rFonts w:eastAsia="Times New Roman" w:cstheme="minorHAnsi"/>
          <w:sz w:val="24"/>
          <w:szCs w:val="24"/>
          <w:lang w:eastAsia="en-GB"/>
        </w:rPr>
        <w:t>. H</w:t>
      </w:r>
      <w:r w:rsidR="003815D9" w:rsidRPr="00675EEC">
        <w:rPr>
          <w:rFonts w:eastAsia="Times New Roman" w:cstheme="minorHAnsi"/>
          <w:sz w:val="24"/>
          <w:szCs w:val="24"/>
          <w:lang w:eastAsia="en-GB"/>
        </w:rPr>
        <w:t>owever</w:t>
      </w:r>
      <w:r w:rsidR="00425F63">
        <w:rPr>
          <w:rFonts w:eastAsia="Times New Roman" w:cstheme="minorHAnsi"/>
          <w:sz w:val="24"/>
          <w:szCs w:val="24"/>
          <w:lang w:eastAsia="en-GB"/>
        </w:rPr>
        <w:t>,</w:t>
      </w:r>
      <w:r w:rsidR="003815D9" w:rsidRPr="00675EEC">
        <w:rPr>
          <w:rFonts w:eastAsia="Times New Roman" w:cstheme="minorHAnsi"/>
          <w:sz w:val="24"/>
          <w:szCs w:val="24"/>
          <w:lang w:eastAsia="en-GB"/>
        </w:rPr>
        <w:t xml:space="preserve"> </w:t>
      </w:r>
      <w:r w:rsidR="007A5A4B" w:rsidRPr="00675EEC">
        <w:rPr>
          <w:rFonts w:eastAsia="Times New Roman" w:cstheme="minorHAnsi"/>
          <w:sz w:val="24"/>
          <w:szCs w:val="24"/>
          <w:lang w:eastAsia="en-GB"/>
        </w:rPr>
        <w:t xml:space="preserve">it </w:t>
      </w:r>
      <w:r w:rsidR="004E0C2E" w:rsidRPr="00675EEC">
        <w:rPr>
          <w:rFonts w:eastAsia="Times New Roman" w:cstheme="minorHAnsi"/>
          <w:sz w:val="24"/>
          <w:szCs w:val="24"/>
          <w:lang w:eastAsia="en-GB"/>
        </w:rPr>
        <w:t xml:space="preserve">has failed to </w:t>
      </w:r>
      <w:r w:rsidR="00322416" w:rsidRPr="00675EEC">
        <w:rPr>
          <w:rFonts w:eastAsia="Times New Roman" w:cstheme="minorHAnsi"/>
          <w:sz w:val="24"/>
          <w:szCs w:val="24"/>
          <w:lang w:eastAsia="en-GB"/>
        </w:rPr>
        <w:t xml:space="preserve">make clear or take </w:t>
      </w:r>
      <w:r w:rsidR="004E0C2E" w:rsidRPr="00675EEC">
        <w:rPr>
          <w:rFonts w:eastAsia="Times New Roman" w:cstheme="minorHAnsi"/>
          <w:sz w:val="24"/>
          <w:szCs w:val="24"/>
          <w:lang w:eastAsia="en-GB"/>
        </w:rPr>
        <w:t xml:space="preserve">account of the important current value </w:t>
      </w:r>
      <w:r w:rsidR="00B86BD2">
        <w:rPr>
          <w:rFonts w:eastAsia="Times New Roman" w:cstheme="minorHAnsi"/>
          <w:sz w:val="24"/>
          <w:szCs w:val="24"/>
          <w:lang w:eastAsia="en-GB"/>
        </w:rPr>
        <w:t xml:space="preserve">of this land </w:t>
      </w:r>
      <w:r w:rsidR="004E0C2E" w:rsidRPr="00675EEC">
        <w:rPr>
          <w:rFonts w:eastAsia="Times New Roman" w:cstheme="minorHAnsi"/>
          <w:sz w:val="24"/>
          <w:szCs w:val="24"/>
          <w:lang w:eastAsia="en-GB"/>
        </w:rPr>
        <w:t xml:space="preserve">in terms of </w:t>
      </w:r>
    </w:p>
    <w:p w14:paraId="4B4F7799" w14:textId="613CB74D" w:rsidR="004B7917" w:rsidRDefault="004E0C2E" w:rsidP="0051047D">
      <w:pPr>
        <w:pStyle w:val="ListParagraph"/>
        <w:numPr>
          <w:ilvl w:val="1"/>
          <w:numId w:val="3"/>
        </w:numPr>
        <w:spacing w:after="0" w:line="240" w:lineRule="auto"/>
        <w:rPr>
          <w:rFonts w:eastAsia="Times New Roman" w:cstheme="minorHAnsi"/>
          <w:sz w:val="24"/>
          <w:szCs w:val="24"/>
          <w:lang w:eastAsia="en-GB"/>
        </w:rPr>
      </w:pPr>
      <w:r w:rsidRPr="00675EEC">
        <w:rPr>
          <w:rFonts w:eastAsia="Times New Roman" w:cstheme="minorHAnsi"/>
          <w:sz w:val="24"/>
          <w:szCs w:val="24"/>
          <w:lang w:eastAsia="en-GB"/>
        </w:rPr>
        <w:t xml:space="preserve">containing </w:t>
      </w:r>
      <w:r w:rsidR="004B7917">
        <w:rPr>
          <w:rFonts w:eastAsia="Times New Roman" w:cstheme="minorHAnsi"/>
          <w:sz w:val="24"/>
          <w:szCs w:val="24"/>
          <w:lang w:eastAsia="en-GB"/>
        </w:rPr>
        <w:t xml:space="preserve">the environmental and social impacts of </w:t>
      </w:r>
      <w:r w:rsidRPr="00675EEC">
        <w:rPr>
          <w:rFonts w:eastAsia="Times New Roman" w:cstheme="minorHAnsi"/>
          <w:sz w:val="24"/>
          <w:szCs w:val="24"/>
          <w:lang w:eastAsia="en-GB"/>
        </w:rPr>
        <w:t>urban sprawl</w:t>
      </w:r>
      <w:r w:rsidR="00B82939" w:rsidRPr="00675EEC">
        <w:rPr>
          <w:rFonts w:eastAsia="Times New Roman" w:cstheme="minorHAnsi"/>
          <w:sz w:val="24"/>
          <w:szCs w:val="24"/>
          <w:lang w:eastAsia="en-GB"/>
        </w:rPr>
        <w:t xml:space="preserve"> </w:t>
      </w:r>
    </w:p>
    <w:p w14:paraId="0ADDFB9D" w14:textId="7150F703" w:rsidR="0051047D" w:rsidRDefault="00B82939" w:rsidP="0051047D">
      <w:pPr>
        <w:pStyle w:val="ListParagraph"/>
        <w:numPr>
          <w:ilvl w:val="1"/>
          <w:numId w:val="3"/>
        </w:numPr>
        <w:spacing w:after="0" w:line="240" w:lineRule="auto"/>
        <w:rPr>
          <w:rFonts w:eastAsia="Times New Roman" w:cstheme="minorHAnsi"/>
          <w:sz w:val="24"/>
          <w:szCs w:val="24"/>
          <w:lang w:eastAsia="en-GB"/>
        </w:rPr>
      </w:pPr>
      <w:r w:rsidRPr="00675EEC">
        <w:rPr>
          <w:rFonts w:eastAsia="Times New Roman" w:cstheme="minorHAnsi"/>
          <w:sz w:val="24"/>
          <w:szCs w:val="24"/>
          <w:lang w:eastAsia="en-GB"/>
        </w:rPr>
        <w:t>stopping towns from merging</w:t>
      </w:r>
    </w:p>
    <w:p w14:paraId="125B46EB" w14:textId="2E628C3C" w:rsidR="0051047D" w:rsidRDefault="00384E7C" w:rsidP="0051047D">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managing </w:t>
      </w:r>
      <w:r w:rsidR="004E0C2E" w:rsidRPr="00675EEC">
        <w:rPr>
          <w:rFonts w:eastAsia="Times New Roman" w:cstheme="minorHAnsi"/>
          <w:sz w:val="24"/>
          <w:szCs w:val="24"/>
          <w:lang w:eastAsia="en-GB"/>
        </w:rPr>
        <w:t>water</w:t>
      </w:r>
      <w:r w:rsidR="00490F5F">
        <w:rPr>
          <w:rFonts w:eastAsia="Times New Roman" w:cstheme="minorHAnsi"/>
          <w:sz w:val="24"/>
          <w:szCs w:val="24"/>
          <w:lang w:eastAsia="en-GB"/>
        </w:rPr>
        <w:t>,</w:t>
      </w:r>
      <w:r w:rsidR="004E0C2E" w:rsidRPr="00675EEC">
        <w:rPr>
          <w:rFonts w:eastAsia="Times New Roman" w:cstheme="minorHAnsi"/>
          <w:sz w:val="24"/>
          <w:szCs w:val="24"/>
          <w:lang w:eastAsia="en-GB"/>
        </w:rPr>
        <w:t xml:space="preserve"> temperature </w:t>
      </w:r>
      <w:r w:rsidR="00490F5F">
        <w:rPr>
          <w:rFonts w:eastAsia="Times New Roman" w:cstheme="minorHAnsi"/>
          <w:sz w:val="24"/>
          <w:szCs w:val="24"/>
          <w:lang w:eastAsia="en-GB"/>
        </w:rPr>
        <w:t xml:space="preserve">and air quality </w:t>
      </w:r>
      <w:r>
        <w:rPr>
          <w:rFonts w:eastAsia="Times New Roman" w:cstheme="minorHAnsi"/>
          <w:sz w:val="24"/>
          <w:szCs w:val="24"/>
          <w:lang w:eastAsia="en-GB"/>
        </w:rPr>
        <w:t xml:space="preserve">in </w:t>
      </w:r>
      <w:r w:rsidR="006A22DD">
        <w:rPr>
          <w:rFonts w:eastAsia="Times New Roman" w:cstheme="minorHAnsi"/>
          <w:sz w:val="24"/>
          <w:szCs w:val="24"/>
          <w:lang w:eastAsia="en-GB"/>
        </w:rPr>
        <w:t xml:space="preserve">Hounslow and </w:t>
      </w:r>
      <w:r w:rsidR="00E02F6C">
        <w:rPr>
          <w:rFonts w:eastAsia="Times New Roman" w:cstheme="minorHAnsi"/>
          <w:sz w:val="24"/>
          <w:szCs w:val="24"/>
          <w:lang w:eastAsia="en-GB"/>
        </w:rPr>
        <w:t>beyond</w:t>
      </w:r>
    </w:p>
    <w:p w14:paraId="1E22A173" w14:textId="55BEE045" w:rsidR="00876188" w:rsidRDefault="00E02F6C" w:rsidP="0051047D">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providing </w:t>
      </w:r>
      <w:r w:rsidR="000373FF" w:rsidRPr="00675EEC">
        <w:rPr>
          <w:rFonts w:eastAsia="Times New Roman" w:cstheme="minorHAnsi"/>
          <w:sz w:val="24"/>
          <w:szCs w:val="24"/>
          <w:lang w:eastAsia="en-GB"/>
        </w:rPr>
        <w:t xml:space="preserve">a more </w:t>
      </w:r>
      <w:r w:rsidR="004F0D51" w:rsidRPr="00675EEC">
        <w:rPr>
          <w:rFonts w:eastAsia="Times New Roman" w:cstheme="minorHAnsi"/>
          <w:sz w:val="24"/>
          <w:szCs w:val="24"/>
          <w:lang w:eastAsia="en-GB"/>
        </w:rPr>
        <w:t xml:space="preserve">densely </w:t>
      </w:r>
      <w:r w:rsidR="000373FF" w:rsidRPr="00675EEC">
        <w:rPr>
          <w:rFonts w:eastAsia="Times New Roman" w:cstheme="minorHAnsi"/>
          <w:sz w:val="24"/>
          <w:szCs w:val="24"/>
          <w:lang w:eastAsia="en-GB"/>
        </w:rPr>
        <w:t xml:space="preserve">populated </w:t>
      </w:r>
      <w:r w:rsidR="005067B0" w:rsidRPr="00675EEC">
        <w:rPr>
          <w:rFonts w:eastAsia="Times New Roman" w:cstheme="minorHAnsi"/>
          <w:sz w:val="24"/>
          <w:szCs w:val="24"/>
          <w:lang w:eastAsia="en-GB"/>
        </w:rPr>
        <w:t xml:space="preserve">area </w:t>
      </w:r>
      <w:r>
        <w:rPr>
          <w:rFonts w:eastAsia="Times New Roman" w:cstheme="minorHAnsi"/>
          <w:sz w:val="24"/>
          <w:szCs w:val="24"/>
          <w:lang w:eastAsia="en-GB"/>
        </w:rPr>
        <w:t xml:space="preserve">with </w:t>
      </w:r>
      <w:r w:rsidR="00685C7A" w:rsidRPr="00675EEC">
        <w:rPr>
          <w:rFonts w:eastAsia="Times New Roman" w:cstheme="minorHAnsi"/>
          <w:sz w:val="24"/>
          <w:szCs w:val="24"/>
          <w:lang w:eastAsia="en-GB"/>
        </w:rPr>
        <w:t xml:space="preserve">vital </w:t>
      </w:r>
      <w:r w:rsidR="000373FF" w:rsidRPr="00675EEC">
        <w:rPr>
          <w:rFonts w:eastAsia="Times New Roman" w:cstheme="minorHAnsi"/>
          <w:sz w:val="24"/>
          <w:szCs w:val="24"/>
          <w:lang w:eastAsia="en-GB"/>
        </w:rPr>
        <w:t xml:space="preserve">open green space and/or sports pitches </w:t>
      </w:r>
      <w:r>
        <w:rPr>
          <w:rFonts w:eastAsia="Times New Roman" w:cstheme="minorHAnsi"/>
          <w:sz w:val="24"/>
          <w:szCs w:val="24"/>
          <w:lang w:eastAsia="en-GB"/>
        </w:rPr>
        <w:t xml:space="preserve">now and in </w:t>
      </w:r>
      <w:r w:rsidRPr="00675EEC">
        <w:rPr>
          <w:rFonts w:eastAsia="Times New Roman" w:cstheme="minorHAnsi"/>
          <w:sz w:val="24"/>
          <w:szCs w:val="24"/>
          <w:lang w:eastAsia="en-GB"/>
        </w:rPr>
        <w:t>future</w:t>
      </w:r>
    </w:p>
    <w:p w14:paraId="3BF071BA" w14:textId="65613B27" w:rsidR="00D157AF" w:rsidRDefault="004A7D9D" w:rsidP="0051047D">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protecting nature </w:t>
      </w:r>
      <w:r w:rsidR="00F247B6">
        <w:rPr>
          <w:rFonts w:eastAsia="Times New Roman" w:cstheme="minorHAnsi"/>
          <w:sz w:val="24"/>
          <w:szCs w:val="24"/>
          <w:lang w:eastAsia="en-GB"/>
        </w:rPr>
        <w:t xml:space="preserve">(many of these </w:t>
      </w:r>
      <w:r w:rsidR="00251E09">
        <w:rPr>
          <w:rFonts w:eastAsia="Times New Roman" w:cstheme="minorHAnsi"/>
          <w:sz w:val="24"/>
          <w:szCs w:val="24"/>
          <w:lang w:eastAsia="en-GB"/>
        </w:rPr>
        <w:t>sites</w:t>
      </w:r>
      <w:r w:rsidR="00F247B6">
        <w:rPr>
          <w:rFonts w:eastAsia="Times New Roman" w:cstheme="minorHAnsi"/>
          <w:sz w:val="24"/>
          <w:szCs w:val="24"/>
          <w:lang w:eastAsia="en-GB"/>
        </w:rPr>
        <w:t xml:space="preserve"> are also </w:t>
      </w:r>
      <w:r w:rsidR="00876188">
        <w:rPr>
          <w:rFonts w:eastAsia="Times New Roman" w:cstheme="minorHAnsi"/>
          <w:sz w:val="24"/>
          <w:szCs w:val="24"/>
          <w:lang w:eastAsia="en-GB"/>
        </w:rPr>
        <w:t>valu</w:t>
      </w:r>
      <w:r w:rsidR="00F247B6">
        <w:rPr>
          <w:rFonts w:eastAsia="Times New Roman" w:cstheme="minorHAnsi"/>
          <w:sz w:val="24"/>
          <w:szCs w:val="24"/>
          <w:lang w:eastAsia="en-GB"/>
        </w:rPr>
        <w:t>able</w:t>
      </w:r>
      <w:r w:rsidR="00251E09">
        <w:rPr>
          <w:rFonts w:eastAsia="Times New Roman" w:cstheme="minorHAnsi"/>
          <w:sz w:val="24"/>
          <w:szCs w:val="24"/>
          <w:lang w:eastAsia="en-GB"/>
        </w:rPr>
        <w:t xml:space="preserve"> S</w:t>
      </w:r>
      <w:r w:rsidR="002E7AF7">
        <w:rPr>
          <w:rFonts w:eastAsia="Times New Roman" w:cstheme="minorHAnsi"/>
          <w:sz w:val="24"/>
          <w:szCs w:val="24"/>
          <w:lang w:eastAsia="en-GB"/>
        </w:rPr>
        <w:t>INC</w:t>
      </w:r>
      <w:r w:rsidR="00251E09">
        <w:rPr>
          <w:rFonts w:eastAsia="Times New Roman" w:cstheme="minorHAnsi"/>
          <w:sz w:val="24"/>
          <w:szCs w:val="24"/>
          <w:lang w:eastAsia="en-GB"/>
        </w:rPr>
        <w:t xml:space="preserve">s (Sites of </w:t>
      </w:r>
      <w:r w:rsidR="002E7AF7">
        <w:rPr>
          <w:rFonts w:eastAsia="Times New Roman" w:cstheme="minorHAnsi"/>
          <w:sz w:val="24"/>
          <w:szCs w:val="24"/>
          <w:lang w:eastAsia="en-GB"/>
        </w:rPr>
        <w:t>Importance for Nature Conservation</w:t>
      </w:r>
      <w:r w:rsidR="00251E09">
        <w:rPr>
          <w:rFonts w:eastAsia="Times New Roman" w:cstheme="minorHAnsi"/>
          <w:sz w:val="24"/>
          <w:szCs w:val="24"/>
          <w:lang w:eastAsia="en-GB"/>
        </w:rPr>
        <w:t>)</w:t>
      </w:r>
      <w:r w:rsidR="00876188">
        <w:rPr>
          <w:rFonts w:eastAsia="Times New Roman" w:cstheme="minorHAnsi"/>
          <w:sz w:val="24"/>
          <w:szCs w:val="24"/>
          <w:lang w:eastAsia="en-GB"/>
        </w:rPr>
        <w:t xml:space="preserve">. </w:t>
      </w:r>
    </w:p>
    <w:p w14:paraId="52362034" w14:textId="0EED847C" w:rsidR="003815D9" w:rsidRPr="00D157AF" w:rsidRDefault="004A2240" w:rsidP="007150D6">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b/>
          <w:bCs/>
          <w:sz w:val="24"/>
          <w:szCs w:val="24"/>
          <w:lang w:eastAsia="en-GB"/>
        </w:rPr>
        <w:t>Related to this, t</w:t>
      </w:r>
      <w:r w:rsidR="00D157AF" w:rsidRPr="00D157AF">
        <w:rPr>
          <w:rFonts w:eastAsia="Times New Roman" w:cstheme="minorHAnsi"/>
          <w:b/>
          <w:bCs/>
          <w:sz w:val="24"/>
          <w:szCs w:val="24"/>
          <w:lang w:eastAsia="en-GB"/>
        </w:rPr>
        <w:t xml:space="preserve">he council has not </w:t>
      </w:r>
      <w:r w:rsidR="00117BAA">
        <w:rPr>
          <w:rFonts w:eastAsia="Times New Roman" w:cstheme="minorHAnsi"/>
          <w:b/>
          <w:bCs/>
          <w:sz w:val="24"/>
          <w:szCs w:val="24"/>
          <w:lang w:eastAsia="en-GB"/>
        </w:rPr>
        <w:t xml:space="preserve">attempted to </w:t>
      </w:r>
      <w:r w:rsidR="00CA0F21">
        <w:rPr>
          <w:rFonts w:eastAsia="Times New Roman" w:cstheme="minorHAnsi"/>
          <w:b/>
          <w:bCs/>
          <w:sz w:val="24"/>
          <w:szCs w:val="24"/>
          <w:lang w:eastAsia="en-GB"/>
        </w:rPr>
        <w:t xml:space="preserve">plan </w:t>
      </w:r>
      <w:r w:rsidR="00117BAA">
        <w:rPr>
          <w:rFonts w:eastAsia="Times New Roman" w:cstheme="minorHAnsi"/>
          <w:b/>
          <w:bCs/>
          <w:sz w:val="24"/>
          <w:szCs w:val="24"/>
          <w:lang w:eastAsia="en-GB"/>
        </w:rPr>
        <w:t>positive</w:t>
      </w:r>
      <w:r w:rsidR="00CA0F21">
        <w:rPr>
          <w:rFonts w:eastAsia="Times New Roman" w:cstheme="minorHAnsi"/>
          <w:b/>
          <w:bCs/>
          <w:sz w:val="24"/>
          <w:szCs w:val="24"/>
          <w:lang w:eastAsia="en-GB"/>
        </w:rPr>
        <w:t>ly for the future</w:t>
      </w:r>
      <w:r w:rsidR="00117BAA">
        <w:rPr>
          <w:rFonts w:eastAsia="Times New Roman" w:cstheme="minorHAnsi"/>
          <w:b/>
          <w:bCs/>
          <w:sz w:val="24"/>
          <w:szCs w:val="24"/>
          <w:lang w:eastAsia="en-GB"/>
        </w:rPr>
        <w:t xml:space="preserve"> gain that </w:t>
      </w:r>
      <w:r w:rsidR="0049627E">
        <w:rPr>
          <w:rFonts w:eastAsia="Times New Roman" w:cstheme="minorHAnsi"/>
          <w:b/>
          <w:bCs/>
          <w:sz w:val="24"/>
          <w:szCs w:val="24"/>
          <w:lang w:eastAsia="en-GB"/>
        </w:rPr>
        <w:t xml:space="preserve">the </w:t>
      </w:r>
      <w:r w:rsidR="00D76EA0">
        <w:rPr>
          <w:rFonts w:eastAsia="Times New Roman" w:cstheme="minorHAnsi"/>
          <w:b/>
          <w:bCs/>
          <w:sz w:val="24"/>
          <w:szCs w:val="24"/>
          <w:lang w:eastAsia="en-GB"/>
        </w:rPr>
        <w:t xml:space="preserve">Green Belt </w:t>
      </w:r>
      <w:r w:rsidR="00117BAA">
        <w:rPr>
          <w:rFonts w:eastAsia="Times New Roman" w:cstheme="minorHAnsi"/>
          <w:b/>
          <w:bCs/>
          <w:sz w:val="24"/>
          <w:szCs w:val="24"/>
          <w:lang w:eastAsia="en-GB"/>
        </w:rPr>
        <w:t xml:space="preserve">sites </w:t>
      </w:r>
      <w:r w:rsidR="00234DFF">
        <w:rPr>
          <w:rFonts w:eastAsia="Times New Roman" w:cstheme="minorHAnsi"/>
          <w:b/>
          <w:bCs/>
          <w:sz w:val="24"/>
          <w:szCs w:val="24"/>
          <w:lang w:eastAsia="en-GB"/>
        </w:rPr>
        <w:t xml:space="preserve">(those </w:t>
      </w:r>
      <w:r w:rsidR="00117BAA">
        <w:rPr>
          <w:rFonts w:eastAsia="Times New Roman" w:cstheme="minorHAnsi"/>
          <w:b/>
          <w:bCs/>
          <w:sz w:val="24"/>
          <w:szCs w:val="24"/>
          <w:lang w:eastAsia="en-GB"/>
        </w:rPr>
        <w:t>propose</w:t>
      </w:r>
      <w:r w:rsidR="00104223">
        <w:rPr>
          <w:rFonts w:eastAsia="Times New Roman" w:cstheme="minorHAnsi"/>
          <w:b/>
          <w:bCs/>
          <w:sz w:val="24"/>
          <w:szCs w:val="24"/>
          <w:lang w:eastAsia="en-GB"/>
        </w:rPr>
        <w:t>d for release</w:t>
      </w:r>
      <w:r w:rsidR="00234DFF">
        <w:rPr>
          <w:rFonts w:eastAsia="Times New Roman" w:cstheme="minorHAnsi"/>
          <w:b/>
          <w:bCs/>
          <w:sz w:val="24"/>
          <w:szCs w:val="24"/>
          <w:lang w:eastAsia="en-GB"/>
        </w:rPr>
        <w:t>)</w:t>
      </w:r>
      <w:r w:rsidR="00104223">
        <w:rPr>
          <w:rFonts w:eastAsia="Times New Roman" w:cstheme="minorHAnsi"/>
          <w:b/>
          <w:bCs/>
          <w:sz w:val="24"/>
          <w:szCs w:val="24"/>
          <w:lang w:eastAsia="en-GB"/>
        </w:rPr>
        <w:t xml:space="preserve"> </w:t>
      </w:r>
      <w:r w:rsidR="00D76EA0">
        <w:rPr>
          <w:rFonts w:eastAsia="Times New Roman" w:cstheme="minorHAnsi"/>
          <w:b/>
          <w:bCs/>
          <w:sz w:val="24"/>
          <w:szCs w:val="24"/>
          <w:lang w:eastAsia="en-GB"/>
        </w:rPr>
        <w:t>can bring to the borough</w:t>
      </w:r>
      <w:r w:rsidR="0049627E">
        <w:rPr>
          <w:rFonts w:eastAsia="Times New Roman" w:cstheme="minorHAnsi"/>
          <w:b/>
          <w:bCs/>
          <w:sz w:val="24"/>
          <w:szCs w:val="24"/>
          <w:lang w:eastAsia="en-GB"/>
        </w:rPr>
        <w:t xml:space="preserve"> providing they remain Green Belt</w:t>
      </w:r>
      <w:r w:rsidR="00D157AF" w:rsidRPr="00D157AF">
        <w:rPr>
          <w:rFonts w:eastAsia="Times New Roman" w:cstheme="minorHAnsi"/>
          <w:b/>
          <w:bCs/>
          <w:sz w:val="24"/>
          <w:szCs w:val="24"/>
          <w:lang w:eastAsia="en-GB"/>
        </w:rPr>
        <w:t xml:space="preserve">. </w:t>
      </w:r>
      <w:r w:rsidR="0049627E" w:rsidRPr="0049627E">
        <w:rPr>
          <w:rFonts w:eastAsia="Times New Roman" w:cstheme="minorHAnsi"/>
          <w:sz w:val="24"/>
          <w:szCs w:val="24"/>
          <w:lang w:eastAsia="en-GB"/>
        </w:rPr>
        <w:t>The</w:t>
      </w:r>
      <w:r w:rsidR="0049627E">
        <w:rPr>
          <w:rFonts w:eastAsia="Times New Roman" w:cstheme="minorHAnsi"/>
          <w:b/>
          <w:bCs/>
          <w:sz w:val="24"/>
          <w:szCs w:val="24"/>
          <w:lang w:eastAsia="en-GB"/>
        </w:rPr>
        <w:t xml:space="preserve"> </w:t>
      </w:r>
      <w:r w:rsidR="009A7C89" w:rsidRPr="00D157AF">
        <w:rPr>
          <w:rFonts w:eastAsia="Times New Roman" w:cstheme="minorHAnsi"/>
          <w:sz w:val="24"/>
          <w:szCs w:val="24"/>
          <w:lang w:eastAsia="en-GB"/>
        </w:rPr>
        <w:t xml:space="preserve">NPPF </w:t>
      </w:r>
      <w:r w:rsidR="00F7110C" w:rsidRPr="00D157AF">
        <w:rPr>
          <w:rFonts w:eastAsia="Times New Roman" w:cstheme="minorHAnsi"/>
          <w:sz w:val="24"/>
          <w:szCs w:val="24"/>
          <w:lang w:eastAsia="en-GB"/>
        </w:rPr>
        <w:t>states</w:t>
      </w:r>
      <w:r w:rsidR="00102AF6" w:rsidRPr="00D157AF">
        <w:rPr>
          <w:rFonts w:cstheme="minorHAnsi"/>
          <w:color w:val="0B0C0C"/>
          <w:sz w:val="24"/>
          <w:szCs w:val="24"/>
          <w:bdr w:val="none" w:sz="0" w:space="0" w:color="auto" w:frame="1"/>
        </w:rPr>
        <w:t xml:space="preserve"> </w:t>
      </w:r>
      <w:r w:rsidR="00F7110C" w:rsidRPr="00D157AF">
        <w:rPr>
          <w:rFonts w:cstheme="minorHAnsi"/>
          <w:color w:val="0B0C0C"/>
          <w:sz w:val="24"/>
          <w:szCs w:val="24"/>
          <w:bdr w:val="none" w:sz="0" w:space="0" w:color="auto" w:frame="1"/>
        </w:rPr>
        <w:t>“</w:t>
      </w:r>
      <w:r w:rsidR="00102AF6" w:rsidRPr="00D157AF">
        <w:rPr>
          <w:rStyle w:val="Strong"/>
          <w:rFonts w:cstheme="minorHAnsi"/>
          <w:color w:val="0B0C0C"/>
          <w:sz w:val="24"/>
          <w:szCs w:val="24"/>
          <w:bdr w:val="none" w:sz="0" w:space="0" w:color="auto" w:frame="1"/>
        </w:rPr>
        <w:t>141.</w:t>
      </w:r>
      <w:r w:rsidR="00102AF6" w:rsidRPr="00D157AF">
        <w:rPr>
          <w:rFonts w:cstheme="minorHAnsi"/>
          <w:color w:val="0B0C0C"/>
          <w:sz w:val="24"/>
          <w:szCs w:val="24"/>
          <w:shd w:val="clear" w:color="auto" w:fill="FFFFFF"/>
        </w:rPr>
        <w:t xml:space="preserve"> </w:t>
      </w:r>
      <w:r w:rsidR="00F7110C" w:rsidRPr="00D157AF">
        <w:rPr>
          <w:rFonts w:cstheme="minorHAnsi"/>
          <w:color w:val="0B0C0C"/>
          <w:sz w:val="24"/>
          <w:szCs w:val="24"/>
          <w:shd w:val="clear" w:color="auto" w:fill="FFFFFF"/>
        </w:rPr>
        <w:t>…</w:t>
      </w:r>
      <w:r w:rsidR="00102AF6" w:rsidRPr="00D157AF">
        <w:rPr>
          <w:rFonts w:cstheme="minorHAnsi"/>
          <w:color w:val="0B0C0C"/>
          <w:sz w:val="24"/>
          <w:szCs w:val="24"/>
          <w:shd w:val="clear" w:color="auto" w:fill="FFFFFF"/>
        </w:rPr>
        <w:t>local planning authorities should plan positively to enhance their beneficial use, such as looking for opportunities to provide access; to provide opportunities for outdoor sport and recreation; to retain and enhance landscapes, visual amenity and biodiversity; or to improve damaged and derelict land</w:t>
      </w:r>
      <w:r w:rsidR="00F7110C" w:rsidRPr="00D157AF">
        <w:rPr>
          <w:rFonts w:cstheme="minorHAnsi"/>
          <w:color w:val="0B0C0C"/>
          <w:sz w:val="24"/>
          <w:szCs w:val="24"/>
          <w:shd w:val="clear" w:color="auto" w:fill="FFFFFF"/>
        </w:rPr>
        <w:t>”</w:t>
      </w:r>
      <w:r w:rsidR="00A02647" w:rsidRPr="00D157AF">
        <w:rPr>
          <w:rFonts w:cstheme="minorHAnsi"/>
          <w:color w:val="0B0C0C"/>
          <w:sz w:val="24"/>
          <w:szCs w:val="24"/>
          <w:shd w:val="clear" w:color="auto" w:fill="FFFFFF"/>
        </w:rPr>
        <w:t xml:space="preserve"> but there is no evidence that Hounslow has taken </w:t>
      </w:r>
      <w:r w:rsidR="00AA1FB9" w:rsidRPr="00D157AF">
        <w:rPr>
          <w:rFonts w:cstheme="minorHAnsi"/>
          <w:color w:val="0B0C0C"/>
          <w:sz w:val="24"/>
          <w:szCs w:val="24"/>
          <w:shd w:val="clear" w:color="auto" w:fill="FFFFFF"/>
        </w:rPr>
        <w:t xml:space="preserve">this approach. </w:t>
      </w:r>
    </w:p>
    <w:p w14:paraId="4D61F9DD" w14:textId="743757C8" w:rsidR="009F08C9" w:rsidRPr="002156AC" w:rsidRDefault="0049627E" w:rsidP="00050CF5">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b/>
          <w:bCs/>
          <w:sz w:val="24"/>
          <w:szCs w:val="24"/>
          <w:lang w:eastAsia="en-GB"/>
        </w:rPr>
        <w:t>No sound</w:t>
      </w:r>
      <w:r w:rsidR="009F08C9" w:rsidRPr="003F67D8">
        <w:rPr>
          <w:rFonts w:eastAsia="Times New Roman" w:cstheme="minorHAnsi"/>
          <w:b/>
          <w:bCs/>
          <w:sz w:val="24"/>
          <w:szCs w:val="24"/>
          <w:lang w:eastAsia="en-GB"/>
        </w:rPr>
        <w:t xml:space="preserve"> justification </w:t>
      </w:r>
      <w:r>
        <w:rPr>
          <w:rFonts w:eastAsia="Times New Roman" w:cstheme="minorHAnsi"/>
          <w:b/>
          <w:bCs/>
          <w:sz w:val="24"/>
          <w:szCs w:val="24"/>
          <w:lang w:eastAsia="en-GB"/>
        </w:rPr>
        <w:t xml:space="preserve">is given </w:t>
      </w:r>
      <w:r w:rsidR="009F08C9" w:rsidRPr="003F67D8">
        <w:rPr>
          <w:rFonts w:eastAsia="Times New Roman" w:cstheme="minorHAnsi"/>
          <w:b/>
          <w:bCs/>
          <w:sz w:val="24"/>
          <w:szCs w:val="24"/>
          <w:lang w:eastAsia="en-GB"/>
        </w:rPr>
        <w:t>for change of designation from Green Belt to M</w:t>
      </w:r>
      <w:r>
        <w:rPr>
          <w:rFonts w:eastAsia="Times New Roman" w:cstheme="minorHAnsi"/>
          <w:b/>
          <w:bCs/>
          <w:sz w:val="24"/>
          <w:szCs w:val="24"/>
          <w:lang w:eastAsia="en-GB"/>
        </w:rPr>
        <w:t>etropolitan Open Land</w:t>
      </w:r>
      <w:r w:rsidR="009F08C9">
        <w:rPr>
          <w:rFonts w:eastAsia="Times New Roman" w:cstheme="minorHAnsi"/>
          <w:sz w:val="24"/>
          <w:szCs w:val="24"/>
          <w:lang w:eastAsia="en-GB"/>
        </w:rPr>
        <w:t xml:space="preserve"> for </w:t>
      </w:r>
      <w:r w:rsidR="00C46B83">
        <w:rPr>
          <w:rFonts w:eastAsia="Times New Roman" w:cstheme="minorHAnsi"/>
          <w:sz w:val="24"/>
          <w:szCs w:val="24"/>
          <w:lang w:eastAsia="en-GB"/>
        </w:rPr>
        <w:t>the sites proposed: the</w:t>
      </w:r>
      <w:r w:rsidR="003F67D8">
        <w:rPr>
          <w:rFonts w:eastAsia="Times New Roman" w:cstheme="minorHAnsi"/>
          <w:sz w:val="24"/>
          <w:szCs w:val="24"/>
          <w:lang w:eastAsia="en-GB"/>
        </w:rPr>
        <w:t>y serve important Green Belt purposes including separation of towns</w:t>
      </w:r>
      <w:r w:rsidR="00C646CF">
        <w:rPr>
          <w:rFonts w:eastAsia="Times New Roman" w:cstheme="minorHAnsi"/>
          <w:sz w:val="24"/>
          <w:szCs w:val="24"/>
          <w:lang w:eastAsia="en-GB"/>
        </w:rPr>
        <w:t>, halting urban sprawl and promoting urban regeneration and they</w:t>
      </w:r>
      <w:r w:rsidR="003F67D8">
        <w:rPr>
          <w:rFonts w:eastAsia="Times New Roman" w:cstheme="minorHAnsi"/>
          <w:sz w:val="24"/>
          <w:szCs w:val="24"/>
          <w:lang w:eastAsia="en-GB"/>
        </w:rPr>
        <w:t xml:space="preserve"> </w:t>
      </w:r>
      <w:r w:rsidR="00DB112A">
        <w:rPr>
          <w:rFonts w:eastAsia="Times New Roman" w:cstheme="minorHAnsi"/>
          <w:sz w:val="24"/>
          <w:szCs w:val="24"/>
          <w:lang w:eastAsia="en-GB"/>
        </w:rPr>
        <w:t xml:space="preserve">are clearly </w:t>
      </w:r>
      <w:r w:rsidR="00A603E4">
        <w:rPr>
          <w:rFonts w:eastAsia="Times New Roman" w:cstheme="minorHAnsi"/>
          <w:sz w:val="24"/>
          <w:szCs w:val="24"/>
          <w:lang w:eastAsia="en-GB"/>
        </w:rPr>
        <w:t>countryside</w:t>
      </w:r>
      <w:r w:rsidR="00DB112A">
        <w:rPr>
          <w:rFonts w:eastAsia="Times New Roman" w:cstheme="minorHAnsi"/>
          <w:sz w:val="24"/>
          <w:szCs w:val="24"/>
          <w:lang w:eastAsia="en-GB"/>
        </w:rPr>
        <w:t xml:space="preserve"> in character. </w:t>
      </w:r>
      <w:r w:rsidR="00AF0EEE">
        <w:rPr>
          <w:rFonts w:eastAsia="Times New Roman" w:cstheme="minorHAnsi"/>
          <w:sz w:val="24"/>
          <w:szCs w:val="24"/>
          <w:lang w:eastAsia="en-GB"/>
        </w:rPr>
        <w:t xml:space="preserve">The Council has sought to present Green Belt as being only </w:t>
      </w:r>
      <w:r w:rsidR="00EE6EEE">
        <w:rPr>
          <w:rFonts w:eastAsia="Times New Roman" w:cstheme="minorHAnsi"/>
          <w:sz w:val="24"/>
          <w:szCs w:val="24"/>
          <w:lang w:eastAsia="en-GB"/>
        </w:rPr>
        <w:t xml:space="preserve">the </w:t>
      </w:r>
      <w:r w:rsidR="00AF0EEE">
        <w:rPr>
          <w:rFonts w:eastAsia="Times New Roman" w:cstheme="minorHAnsi"/>
          <w:sz w:val="24"/>
          <w:szCs w:val="24"/>
          <w:lang w:eastAsia="en-GB"/>
        </w:rPr>
        <w:t>outer boundaries of London</w:t>
      </w:r>
      <w:r w:rsidR="008B52E1">
        <w:rPr>
          <w:rFonts w:eastAsia="Times New Roman" w:cstheme="minorHAnsi"/>
          <w:sz w:val="24"/>
          <w:szCs w:val="24"/>
          <w:lang w:eastAsia="en-GB"/>
        </w:rPr>
        <w:t xml:space="preserve"> but the Metropolitan Green Belt was never just an outer boundary</w:t>
      </w:r>
      <w:r w:rsidR="00260411">
        <w:rPr>
          <w:rFonts w:eastAsia="Times New Roman" w:cstheme="minorHAnsi"/>
          <w:sz w:val="24"/>
          <w:szCs w:val="24"/>
          <w:lang w:eastAsia="en-GB"/>
        </w:rPr>
        <w:t xml:space="preserve"> and </w:t>
      </w:r>
      <w:r w:rsidR="002075E8">
        <w:rPr>
          <w:rFonts w:eastAsia="Times New Roman" w:cstheme="minorHAnsi"/>
          <w:sz w:val="24"/>
          <w:szCs w:val="24"/>
          <w:lang w:eastAsia="en-GB"/>
        </w:rPr>
        <w:t xml:space="preserve">it </w:t>
      </w:r>
      <w:r w:rsidR="00D42D37">
        <w:rPr>
          <w:rFonts w:eastAsia="Times New Roman" w:cstheme="minorHAnsi"/>
          <w:sz w:val="24"/>
          <w:szCs w:val="24"/>
          <w:lang w:eastAsia="en-GB"/>
        </w:rPr>
        <w:t xml:space="preserve">is </w:t>
      </w:r>
      <w:r w:rsidR="00F15643">
        <w:rPr>
          <w:rFonts w:eastAsia="Times New Roman" w:cstheme="minorHAnsi"/>
          <w:sz w:val="24"/>
          <w:szCs w:val="24"/>
          <w:lang w:eastAsia="en-GB"/>
        </w:rPr>
        <w:t xml:space="preserve">a clear </w:t>
      </w:r>
      <w:r w:rsidR="004B753B">
        <w:rPr>
          <w:rFonts w:eastAsia="Times New Roman" w:cstheme="minorHAnsi"/>
          <w:sz w:val="24"/>
          <w:szCs w:val="24"/>
          <w:lang w:eastAsia="en-GB"/>
        </w:rPr>
        <w:t>re-writing</w:t>
      </w:r>
      <w:r w:rsidR="00F15643">
        <w:rPr>
          <w:rFonts w:eastAsia="Times New Roman" w:cstheme="minorHAnsi"/>
          <w:sz w:val="24"/>
          <w:szCs w:val="24"/>
          <w:lang w:eastAsia="en-GB"/>
        </w:rPr>
        <w:t xml:space="preserve"> of </w:t>
      </w:r>
      <w:r w:rsidR="002075E8">
        <w:rPr>
          <w:rFonts w:eastAsia="Times New Roman" w:cstheme="minorHAnsi"/>
          <w:sz w:val="24"/>
          <w:szCs w:val="24"/>
          <w:lang w:eastAsia="en-GB"/>
        </w:rPr>
        <w:t xml:space="preserve">national </w:t>
      </w:r>
      <w:r w:rsidR="00EE6EEE">
        <w:rPr>
          <w:rFonts w:eastAsia="Times New Roman" w:cstheme="minorHAnsi"/>
          <w:sz w:val="24"/>
          <w:szCs w:val="24"/>
          <w:lang w:eastAsia="en-GB"/>
        </w:rPr>
        <w:t xml:space="preserve">and London </w:t>
      </w:r>
      <w:r w:rsidR="00D42D37">
        <w:rPr>
          <w:rFonts w:eastAsia="Times New Roman" w:cstheme="minorHAnsi"/>
          <w:sz w:val="24"/>
          <w:szCs w:val="24"/>
          <w:lang w:eastAsia="en-GB"/>
        </w:rPr>
        <w:t>policy to characterise it in this way</w:t>
      </w:r>
      <w:r w:rsidR="002075E8">
        <w:rPr>
          <w:rFonts w:eastAsia="Times New Roman" w:cstheme="minorHAnsi"/>
          <w:sz w:val="24"/>
          <w:szCs w:val="24"/>
          <w:lang w:eastAsia="en-GB"/>
        </w:rPr>
        <w:t xml:space="preserve">. </w:t>
      </w:r>
      <w:r w:rsidR="00080587">
        <w:rPr>
          <w:rFonts w:eastAsia="Times New Roman" w:cstheme="minorHAnsi"/>
          <w:sz w:val="24"/>
          <w:szCs w:val="24"/>
          <w:lang w:eastAsia="en-GB"/>
        </w:rPr>
        <w:t>The proposed re-designation of these sites is unprecedented and entirely unjustified</w:t>
      </w:r>
      <w:r w:rsidR="00C76AA4">
        <w:rPr>
          <w:rFonts w:eastAsia="Times New Roman" w:cstheme="minorHAnsi"/>
          <w:sz w:val="24"/>
          <w:szCs w:val="24"/>
          <w:lang w:eastAsia="en-GB"/>
        </w:rPr>
        <w:t xml:space="preserve"> and would set a dangerous precedent</w:t>
      </w:r>
      <w:r w:rsidR="00AF4F94">
        <w:rPr>
          <w:rFonts w:eastAsia="Times New Roman" w:cstheme="minorHAnsi"/>
          <w:sz w:val="24"/>
          <w:szCs w:val="24"/>
          <w:lang w:eastAsia="en-GB"/>
        </w:rPr>
        <w:t xml:space="preserve"> if adopted</w:t>
      </w:r>
      <w:r w:rsidR="00C76AA4">
        <w:rPr>
          <w:rFonts w:eastAsia="Times New Roman" w:cstheme="minorHAnsi"/>
          <w:sz w:val="24"/>
          <w:szCs w:val="24"/>
          <w:lang w:eastAsia="en-GB"/>
        </w:rPr>
        <w:t xml:space="preserve">. </w:t>
      </w:r>
    </w:p>
    <w:p w14:paraId="5AC0FAE6" w14:textId="3C2A70A2" w:rsidR="000E7432" w:rsidRDefault="000F1678" w:rsidP="00050CF5">
      <w:pPr>
        <w:pStyle w:val="ListParagraph"/>
        <w:numPr>
          <w:ilvl w:val="0"/>
          <w:numId w:val="3"/>
        </w:numPr>
        <w:spacing w:after="0" w:line="240" w:lineRule="auto"/>
        <w:rPr>
          <w:rFonts w:eastAsia="Times New Roman" w:cstheme="minorHAnsi"/>
          <w:sz w:val="24"/>
          <w:szCs w:val="24"/>
          <w:lang w:eastAsia="en-GB"/>
        </w:rPr>
      </w:pPr>
      <w:r w:rsidRPr="000B142E">
        <w:rPr>
          <w:rFonts w:eastAsia="Times New Roman" w:cstheme="minorHAnsi"/>
          <w:b/>
          <w:bCs/>
          <w:sz w:val="24"/>
          <w:szCs w:val="24"/>
          <w:lang w:eastAsia="en-GB"/>
        </w:rPr>
        <w:t xml:space="preserve">The argument that there are </w:t>
      </w:r>
      <w:r w:rsidR="002156AC" w:rsidRPr="000B142E">
        <w:rPr>
          <w:rFonts w:eastAsia="Times New Roman" w:cstheme="minorHAnsi"/>
          <w:b/>
          <w:bCs/>
          <w:sz w:val="24"/>
          <w:szCs w:val="24"/>
          <w:lang w:eastAsia="en-GB"/>
        </w:rPr>
        <w:t>E</w:t>
      </w:r>
      <w:r w:rsidRPr="000B142E">
        <w:rPr>
          <w:rFonts w:eastAsia="Times New Roman" w:cstheme="minorHAnsi"/>
          <w:b/>
          <w:bCs/>
          <w:sz w:val="24"/>
          <w:szCs w:val="24"/>
          <w:lang w:eastAsia="en-GB"/>
        </w:rPr>
        <w:t xml:space="preserve">xceptional </w:t>
      </w:r>
      <w:r w:rsidR="002156AC" w:rsidRPr="000B142E">
        <w:rPr>
          <w:rFonts w:eastAsia="Times New Roman" w:cstheme="minorHAnsi"/>
          <w:b/>
          <w:bCs/>
          <w:sz w:val="24"/>
          <w:szCs w:val="24"/>
          <w:lang w:eastAsia="en-GB"/>
        </w:rPr>
        <w:t>C</w:t>
      </w:r>
      <w:r w:rsidRPr="000B142E">
        <w:rPr>
          <w:rFonts w:eastAsia="Times New Roman" w:cstheme="minorHAnsi"/>
          <w:b/>
          <w:bCs/>
          <w:sz w:val="24"/>
          <w:szCs w:val="24"/>
          <w:lang w:eastAsia="en-GB"/>
        </w:rPr>
        <w:t>ircumstances</w:t>
      </w:r>
      <w:r w:rsidR="000B142E">
        <w:rPr>
          <w:rFonts w:eastAsia="Times New Roman" w:cstheme="minorHAnsi"/>
          <w:b/>
          <w:bCs/>
          <w:sz w:val="24"/>
          <w:szCs w:val="24"/>
          <w:lang w:eastAsia="en-GB"/>
        </w:rPr>
        <w:t xml:space="preserve"> to justify Green Belt release</w:t>
      </w:r>
      <w:r w:rsidRPr="000B142E">
        <w:rPr>
          <w:rFonts w:eastAsia="Times New Roman" w:cstheme="minorHAnsi"/>
          <w:b/>
          <w:bCs/>
          <w:sz w:val="24"/>
          <w:szCs w:val="24"/>
          <w:lang w:eastAsia="en-GB"/>
        </w:rPr>
        <w:t xml:space="preserve">, based as it is upon the </w:t>
      </w:r>
      <w:r w:rsidR="004863B3" w:rsidRPr="000B142E">
        <w:rPr>
          <w:rFonts w:eastAsia="Times New Roman" w:cstheme="minorHAnsi"/>
          <w:b/>
          <w:bCs/>
          <w:sz w:val="24"/>
          <w:szCs w:val="24"/>
          <w:lang w:eastAsia="en-GB"/>
        </w:rPr>
        <w:t>need for housing and commercial space, it flawed</w:t>
      </w:r>
      <w:r w:rsidR="004863B3" w:rsidRPr="000E7432">
        <w:rPr>
          <w:rFonts w:eastAsia="Times New Roman" w:cstheme="minorHAnsi"/>
          <w:sz w:val="24"/>
          <w:szCs w:val="24"/>
          <w:lang w:eastAsia="en-GB"/>
        </w:rPr>
        <w:t xml:space="preserve">. </w:t>
      </w:r>
      <w:r w:rsidR="004856BD">
        <w:rPr>
          <w:rFonts w:eastAsia="Times New Roman" w:cstheme="minorHAnsi"/>
          <w:sz w:val="24"/>
          <w:szCs w:val="24"/>
          <w:lang w:eastAsia="en-GB"/>
        </w:rPr>
        <w:t>First, t</w:t>
      </w:r>
      <w:r w:rsidR="00160AEC" w:rsidRPr="000E7432">
        <w:rPr>
          <w:rFonts w:eastAsia="Times New Roman" w:cstheme="minorHAnsi"/>
          <w:sz w:val="24"/>
          <w:szCs w:val="24"/>
          <w:lang w:eastAsia="en-GB"/>
        </w:rPr>
        <w:t>hese cannot be argued to be exceptional when they apply to all London boroughs</w:t>
      </w:r>
      <w:r w:rsidR="009E35F7" w:rsidRPr="000E7432">
        <w:rPr>
          <w:rFonts w:eastAsia="Times New Roman" w:cstheme="minorHAnsi"/>
          <w:sz w:val="24"/>
          <w:szCs w:val="24"/>
          <w:lang w:eastAsia="en-GB"/>
        </w:rPr>
        <w:t xml:space="preserve"> and when the Secretary of State has clarified that housing need cannot justify exceptional circumstances needed to release Green Belt</w:t>
      </w:r>
      <w:r w:rsidR="00160AEC" w:rsidRPr="000E7432">
        <w:rPr>
          <w:rFonts w:eastAsia="Times New Roman" w:cstheme="minorHAnsi"/>
          <w:sz w:val="24"/>
          <w:szCs w:val="24"/>
          <w:lang w:eastAsia="en-GB"/>
        </w:rPr>
        <w:t>. Second, t</w:t>
      </w:r>
      <w:r w:rsidR="00291E4A" w:rsidRPr="000E7432">
        <w:rPr>
          <w:rFonts w:eastAsia="Times New Roman" w:cstheme="minorHAnsi"/>
          <w:sz w:val="24"/>
          <w:szCs w:val="24"/>
          <w:lang w:eastAsia="en-GB"/>
        </w:rPr>
        <w:t>he</w:t>
      </w:r>
      <w:r w:rsidR="00555391" w:rsidRPr="000E7432">
        <w:rPr>
          <w:rFonts w:eastAsia="Times New Roman" w:cstheme="minorHAnsi"/>
          <w:sz w:val="24"/>
          <w:szCs w:val="24"/>
          <w:lang w:eastAsia="en-GB"/>
        </w:rPr>
        <w:t xml:space="preserve"> borough has based its argument for </w:t>
      </w:r>
      <w:r w:rsidR="008563FD" w:rsidRPr="000E7432">
        <w:rPr>
          <w:rFonts w:eastAsia="Times New Roman" w:cstheme="minorHAnsi"/>
          <w:sz w:val="24"/>
          <w:szCs w:val="24"/>
          <w:lang w:eastAsia="en-GB"/>
        </w:rPr>
        <w:t xml:space="preserve">Exceptional Circumstances </w:t>
      </w:r>
      <w:r w:rsidR="00555391" w:rsidRPr="000E7432">
        <w:rPr>
          <w:rFonts w:eastAsia="Times New Roman" w:cstheme="minorHAnsi"/>
          <w:sz w:val="24"/>
          <w:szCs w:val="24"/>
          <w:lang w:eastAsia="en-GB"/>
        </w:rPr>
        <w:t xml:space="preserve">on </w:t>
      </w:r>
      <w:r w:rsidR="00A80729" w:rsidRPr="000E7432">
        <w:rPr>
          <w:rFonts w:eastAsia="Times New Roman" w:cstheme="minorHAnsi"/>
          <w:sz w:val="24"/>
          <w:szCs w:val="24"/>
          <w:lang w:eastAsia="en-GB"/>
        </w:rPr>
        <w:t xml:space="preserve">the fact that </w:t>
      </w:r>
      <w:r w:rsidR="00555391" w:rsidRPr="000E7432">
        <w:rPr>
          <w:rFonts w:eastAsia="Times New Roman" w:cstheme="minorHAnsi"/>
          <w:sz w:val="24"/>
          <w:szCs w:val="24"/>
          <w:lang w:eastAsia="en-GB"/>
        </w:rPr>
        <w:t>it</w:t>
      </w:r>
      <w:r w:rsidR="00AC1FBB">
        <w:rPr>
          <w:rFonts w:eastAsia="Times New Roman" w:cstheme="minorHAnsi"/>
          <w:sz w:val="24"/>
          <w:szCs w:val="24"/>
          <w:lang w:eastAsia="en-GB"/>
        </w:rPr>
        <w:t xml:space="preserve"> </w:t>
      </w:r>
      <w:r w:rsidR="00555391" w:rsidRPr="000E7432">
        <w:rPr>
          <w:rFonts w:eastAsia="Times New Roman" w:cstheme="minorHAnsi"/>
          <w:sz w:val="24"/>
          <w:szCs w:val="24"/>
          <w:lang w:eastAsia="en-GB"/>
        </w:rPr>
        <w:t xml:space="preserve">disagrees with the Draft New London Plan (DNLP) </w:t>
      </w:r>
      <w:r w:rsidR="00557D0A" w:rsidRPr="000E7432">
        <w:rPr>
          <w:rFonts w:eastAsia="Times New Roman" w:cstheme="minorHAnsi"/>
          <w:sz w:val="24"/>
          <w:szCs w:val="24"/>
          <w:lang w:eastAsia="en-GB"/>
        </w:rPr>
        <w:t>[Extract from ‘exceptional circumstances’ paper  pp14/15</w:t>
      </w:r>
      <w:r w:rsidR="00BD4032" w:rsidRPr="000E7432">
        <w:rPr>
          <w:rFonts w:eastAsia="Times New Roman" w:cstheme="minorHAnsi"/>
          <w:sz w:val="24"/>
          <w:szCs w:val="24"/>
          <w:lang w:eastAsia="en-GB"/>
        </w:rPr>
        <w:t xml:space="preserve"> “</w:t>
      </w:r>
      <w:r w:rsidR="00557D0A" w:rsidRPr="000E7432">
        <w:rPr>
          <w:rFonts w:eastAsia="Times New Roman" w:cstheme="minorHAnsi"/>
          <w:i/>
          <w:iCs/>
          <w:color w:val="222222"/>
          <w:sz w:val="24"/>
          <w:szCs w:val="24"/>
          <w:lang w:eastAsia="en-GB"/>
        </w:rPr>
        <w:t>Hounslow Council… considers that the proposed approach to Green Belt land should allow for flexibility in recognising that land which no longer meets the purposes of the Green Belt can contribute to good growth”</w:t>
      </w:r>
      <w:r w:rsidR="002156AC" w:rsidRPr="000E7432">
        <w:rPr>
          <w:rFonts w:eastAsia="Times New Roman" w:cstheme="minorHAnsi"/>
          <w:sz w:val="24"/>
          <w:szCs w:val="24"/>
          <w:lang w:eastAsia="en-GB"/>
        </w:rPr>
        <w:t xml:space="preserve">] </w:t>
      </w:r>
      <w:r w:rsidR="00555391" w:rsidRPr="000E7432">
        <w:rPr>
          <w:rFonts w:eastAsia="Times New Roman" w:cstheme="minorHAnsi"/>
          <w:sz w:val="24"/>
          <w:szCs w:val="24"/>
          <w:lang w:eastAsia="en-GB"/>
        </w:rPr>
        <w:t xml:space="preserve">and that it believes </w:t>
      </w:r>
      <w:r w:rsidR="00CC038A">
        <w:rPr>
          <w:rFonts w:eastAsia="Times New Roman" w:cstheme="minorHAnsi"/>
          <w:sz w:val="24"/>
          <w:szCs w:val="24"/>
          <w:lang w:eastAsia="en-GB"/>
        </w:rPr>
        <w:t>it</w:t>
      </w:r>
      <w:r w:rsidR="00CA7C4C" w:rsidRPr="000E7432">
        <w:rPr>
          <w:rFonts w:eastAsia="Times New Roman" w:cstheme="minorHAnsi"/>
          <w:sz w:val="24"/>
          <w:szCs w:val="24"/>
          <w:lang w:eastAsia="en-GB"/>
        </w:rPr>
        <w:t xml:space="preserve"> should be able to take into account </w:t>
      </w:r>
      <w:r w:rsidR="00CA7C4C" w:rsidRPr="006A515D">
        <w:rPr>
          <w:rFonts w:eastAsia="Times New Roman" w:cstheme="minorHAnsi"/>
          <w:i/>
          <w:iCs/>
          <w:sz w:val="24"/>
          <w:szCs w:val="24"/>
          <w:lang w:eastAsia="en-GB"/>
        </w:rPr>
        <w:t>‘the increasingly likely scenario’</w:t>
      </w:r>
      <w:r w:rsidR="00CA7C4C" w:rsidRPr="000E7432">
        <w:rPr>
          <w:rFonts w:eastAsia="Times New Roman" w:cstheme="minorHAnsi"/>
          <w:sz w:val="24"/>
          <w:szCs w:val="24"/>
          <w:lang w:eastAsia="en-GB"/>
        </w:rPr>
        <w:t xml:space="preserve"> of a third runway at Heathrow. </w:t>
      </w:r>
      <w:r w:rsidR="000B2E05" w:rsidRPr="000E7432">
        <w:rPr>
          <w:rFonts w:eastAsia="Times New Roman" w:cstheme="minorHAnsi"/>
          <w:sz w:val="24"/>
          <w:szCs w:val="24"/>
          <w:lang w:eastAsia="en-GB"/>
        </w:rPr>
        <w:t>N</w:t>
      </w:r>
      <w:r w:rsidR="0080374D" w:rsidRPr="000E7432">
        <w:rPr>
          <w:rFonts w:eastAsia="Times New Roman" w:cstheme="minorHAnsi"/>
          <w:sz w:val="24"/>
          <w:szCs w:val="24"/>
          <w:lang w:eastAsia="en-GB"/>
        </w:rPr>
        <w:t>either of these are current planning policy</w:t>
      </w:r>
      <w:r w:rsidR="000B2E05" w:rsidRPr="000E7432">
        <w:rPr>
          <w:rFonts w:eastAsia="Times New Roman" w:cstheme="minorHAnsi"/>
          <w:sz w:val="24"/>
          <w:szCs w:val="24"/>
          <w:lang w:eastAsia="en-GB"/>
        </w:rPr>
        <w:t xml:space="preserve"> and cannot therefore form the basis of an argument. </w:t>
      </w:r>
    </w:p>
    <w:p w14:paraId="37044C8C" w14:textId="77777777" w:rsidR="005C43BB" w:rsidRDefault="00136D38" w:rsidP="00050CF5">
      <w:pPr>
        <w:pStyle w:val="ListParagraph"/>
        <w:numPr>
          <w:ilvl w:val="0"/>
          <w:numId w:val="3"/>
        </w:numPr>
        <w:spacing w:after="0" w:line="240" w:lineRule="auto"/>
        <w:rPr>
          <w:rFonts w:eastAsia="Times New Roman" w:cstheme="minorHAnsi"/>
          <w:sz w:val="24"/>
          <w:szCs w:val="24"/>
          <w:lang w:eastAsia="en-GB"/>
        </w:rPr>
      </w:pPr>
      <w:r w:rsidRPr="004626DC">
        <w:rPr>
          <w:rFonts w:eastAsia="Times New Roman" w:cstheme="minorHAnsi"/>
          <w:b/>
          <w:bCs/>
          <w:sz w:val="24"/>
          <w:szCs w:val="24"/>
          <w:lang w:eastAsia="en-GB"/>
        </w:rPr>
        <w:t>Hounslow has accepted</w:t>
      </w:r>
      <w:r>
        <w:rPr>
          <w:rFonts w:eastAsia="Times New Roman" w:cstheme="minorHAnsi"/>
          <w:sz w:val="24"/>
          <w:szCs w:val="24"/>
          <w:lang w:eastAsia="en-GB"/>
        </w:rPr>
        <w:t xml:space="preserve"> </w:t>
      </w:r>
      <w:r w:rsidR="00CC16B1" w:rsidRPr="00CC16B1">
        <w:rPr>
          <w:rFonts w:eastAsia="Times New Roman" w:cstheme="minorHAnsi"/>
          <w:b/>
          <w:bCs/>
          <w:sz w:val="24"/>
          <w:szCs w:val="24"/>
          <w:lang w:eastAsia="en-GB"/>
        </w:rPr>
        <w:t xml:space="preserve">exceptionally high </w:t>
      </w:r>
      <w:r w:rsidRPr="00CC16B1">
        <w:rPr>
          <w:rFonts w:eastAsia="Times New Roman" w:cstheme="minorHAnsi"/>
          <w:b/>
          <w:bCs/>
          <w:sz w:val="24"/>
          <w:szCs w:val="24"/>
          <w:lang w:eastAsia="en-GB"/>
        </w:rPr>
        <w:t>housing targets</w:t>
      </w:r>
      <w:r w:rsidR="004626DC">
        <w:rPr>
          <w:rFonts w:eastAsia="Times New Roman" w:cstheme="minorHAnsi"/>
          <w:b/>
          <w:bCs/>
          <w:sz w:val="24"/>
          <w:szCs w:val="24"/>
          <w:lang w:eastAsia="en-GB"/>
        </w:rPr>
        <w:t xml:space="preserve"> without appropriate justification</w:t>
      </w:r>
      <w:r>
        <w:rPr>
          <w:rFonts w:eastAsia="Times New Roman" w:cstheme="minorHAnsi"/>
          <w:sz w:val="24"/>
          <w:szCs w:val="24"/>
          <w:lang w:eastAsia="en-GB"/>
        </w:rPr>
        <w:t xml:space="preserve"> </w:t>
      </w:r>
      <w:r w:rsidR="00565FE1">
        <w:rPr>
          <w:rFonts w:eastAsia="Times New Roman" w:cstheme="minorHAnsi"/>
          <w:sz w:val="24"/>
          <w:szCs w:val="24"/>
          <w:lang w:eastAsia="en-GB"/>
        </w:rPr>
        <w:t xml:space="preserve">except to state that the borough is ‘pro growth’. This fails to assess </w:t>
      </w:r>
    </w:p>
    <w:p w14:paraId="2ED8FE64" w14:textId="77777777" w:rsidR="002E312C" w:rsidRDefault="00CC16B1" w:rsidP="002E312C">
      <w:pPr>
        <w:pStyle w:val="ListParagraph"/>
        <w:numPr>
          <w:ilvl w:val="1"/>
          <w:numId w:val="3"/>
        </w:numPr>
        <w:spacing w:after="0" w:line="240" w:lineRule="auto"/>
        <w:rPr>
          <w:rFonts w:eastAsia="Times New Roman" w:cstheme="minorHAnsi"/>
          <w:sz w:val="24"/>
          <w:szCs w:val="24"/>
          <w:lang w:eastAsia="en-GB"/>
        </w:rPr>
      </w:pPr>
      <w:r w:rsidRPr="00423563">
        <w:rPr>
          <w:rFonts w:eastAsia="Times New Roman" w:cstheme="minorHAnsi"/>
          <w:sz w:val="24"/>
          <w:szCs w:val="24"/>
          <w:lang w:eastAsia="en-GB"/>
        </w:rPr>
        <w:t xml:space="preserve">the reality of what </w:t>
      </w:r>
      <w:r w:rsidR="00BB72AE">
        <w:rPr>
          <w:rFonts w:eastAsia="Times New Roman" w:cstheme="minorHAnsi"/>
          <w:sz w:val="24"/>
          <w:szCs w:val="24"/>
          <w:lang w:eastAsia="en-GB"/>
        </w:rPr>
        <w:t>is likely to actually be constructed per year</w:t>
      </w:r>
      <w:r w:rsidR="002E312C">
        <w:rPr>
          <w:rFonts w:eastAsia="Times New Roman" w:cstheme="minorHAnsi"/>
          <w:sz w:val="24"/>
          <w:szCs w:val="24"/>
          <w:lang w:eastAsia="en-GB"/>
        </w:rPr>
        <w:t xml:space="preserve"> </w:t>
      </w:r>
    </w:p>
    <w:p w14:paraId="0F10B922" w14:textId="3AE899AC" w:rsidR="00602B0E" w:rsidRPr="002E312C" w:rsidRDefault="002E312C" w:rsidP="002E312C">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 xml:space="preserve">whether </w:t>
      </w:r>
      <w:r w:rsidR="00BF384D" w:rsidRPr="002E312C">
        <w:rPr>
          <w:rFonts w:eastAsia="Times New Roman" w:cstheme="minorHAnsi"/>
          <w:sz w:val="24"/>
          <w:szCs w:val="24"/>
          <w:lang w:eastAsia="en-GB"/>
        </w:rPr>
        <w:t xml:space="preserve">the borough </w:t>
      </w:r>
      <w:r>
        <w:rPr>
          <w:rFonts w:eastAsia="Times New Roman" w:cstheme="minorHAnsi"/>
          <w:sz w:val="24"/>
          <w:szCs w:val="24"/>
          <w:lang w:eastAsia="en-GB"/>
        </w:rPr>
        <w:t xml:space="preserve">could </w:t>
      </w:r>
      <w:r w:rsidR="00BF384D" w:rsidRPr="002E312C">
        <w:rPr>
          <w:rFonts w:eastAsia="Times New Roman" w:cstheme="minorHAnsi"/>
          <w:sz w:val="24"/>
          <w:szCs w:val="24"/>
          <w:lang w:eastAsia="en-GB"/>
        </w:rPr>
        <w:t>adop</w:t>
      </w:r>
      <w:r>
        <w:rPr>
          <w:rFonts w:eastAsia="Times New Roman" w:cstheme="minorHAnsi"/>
          <w:sz w:val="24"/>
          <w:szCs w:val="24"/>
          <w:lang w:eastAsia="en-GB"/>
        </w:rPr>
        <w:t xml:space="preserve">t a </w:t>
      </w:r>
      <w:r w:rsidR="00BF384D" w:rsidRPr="002E312C">
        <w:rPr>
          <w:rFonts w:eastAsia="Times New Roman" w:cstheme="minorHAnsi"/>
          <w:sz w:val="24"/>
          <w:szCs w:val="24"/>
          <w:lang w:eastAsia="en-GB"/>
        </w:rPr>
        <w:t xml:space="preserve">very challenging and ambitious target </w:t>
      </w:r>
      <w:r w:rsidR="00BF384D" w:rsidRPr="002E312C">
        <w:rPr>
          <w:rFonts w:eastAsia="Times New Roman" w:cstheme="minorHAnsi"/>
          <w:i/>
          <w:iCs/>
          <w:sz w:val="24"/>
          <w:szCs w:val="24"/>
          <w:lang w:eastAsia="en-GB"/>
        </w:rPr>
        <w:t>without</w:t>
      </w:r>
      <w:r w:rsidR="00BF384D" w:rsidRPr="002E312C">
        <w:rPr>
          <w:rFonts w:eastAsia="Times New Roman" w:cstheme="minorHAnsi"/>
          <w:sz w:val="24"/>
          <w:szCs w:val="24"/>
          <w:lang w:eastAsia="en-GB"/>
        </w:rPr>
        <w:t xml:space="preserve"> Green Belt release</w:t>
      </w:r>
      <w:r w:rsidR="001501CF">
        <w:rPr>
          <w:rFonts w:eastAsia="Times New Roman" w:cstheme="minorHAnsi"/>
          <w:sz w:val="24"/>
          <w:szCs w:val="24"/>
          <w:lang w:eastAsia="en-GB"/>
        </w:rPr>
        <w:t xml:space="preserve"> (which we believe it could)</w:t>
      </w:r>
    </w:p>
    <w:p w14:paraId="27340B82" w14:textId="6CF0378D" w:rsidR="00136D38" w:rsidRPr="00423563" w:rsidRDefault="00206E1F" w:rsidP="00193CA5">
      <w:pPr>
        <w:pStyle w:val="ListParagraph"/>
        <w:numPr>
          <w:ilvl w:val="1"/>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risk that </w:t>
      </w:r>
      <w:r w:rsidR="00C41C1A">
        <w:rPr>
          <w:rFonts w:eastAsia="Times New Roman" w:cstheme="minorHAnsi"/>
          <w:sz w:val="24"/>
          <w:szCs w:val="24"/>
          <w:lang w:eastAsia="en-GB"/>
        </w:rPr>
        <w:t xml:space="preserve">allocating </w:t>
      </w:r>
      <w:r w:rsidR="00C41C1A" w:rsidRPr="00423563">
        <w:rPr>
          <w:rFonts w:eastAsia="Times New Roman" w:cstheme="minorHAnsi"/>
          <w:sz w:val="24"/>
          <w:szCs w:val="24"/>
          <w:lang w:eastAsia="en-GB"/>
        </w:rPr>
        <w:t xml:space="preserve">Green Belt </w:t>
      </w:r>
      <w:r w:rsidR="00C41C1A">
        <w:rPr>
          <w:rFonts w:eastAsia="Times New Roman" w:cstheme="minorHAnsi"/>
          <w:sz w:val="24"/>
          <w:szCs w:val="24"/>
          <w:lang w:eastAsia="en-GB"/>
        </w:rPr>
        <w:t xml:space="preserve">sites will encourage an </w:t>
      </w:r>
      <w:r w:rsidR="00C41C1A" w:rsidRPr="00423563">
        <w:rPr>
          <w:rFonts w:eastAsia="Times New Roman" w:cstheme="minorHAnsi"/>
          <w:sz w:val="24"/>
          <w:szCs w:val="24"/>
          <w:lang w:eastAsia="en-GB"/>
        </w:rPr>
        <w:t xml:space="preserve">‘easy’ push into countryside </w:t>
      </w:r>
      <w:r w:rsidR="00C41C1A">
        <w:rPr>
          <w:rFonts w:eastAsia="Times New Roman" w:cstheme="minorHAnsi"/>
          <w:sz w:val="24"/>
          <w:szCs w:val="24"/>
          <w:lang w:eastAsia="en-GB"/>
        </w:rPr>
        <w:t xml:space="preserve">instead of </w:t>
      </w:r>
      <w:r w:rsidR="00C41C1A" w:rsidRPr="00423563">
        <w:rPr>
          <w:rFonts w:eastAsia="Times New Roman" w:cstheme="minorHAnsi"/>
          <w:sz w:val="24"/>
          <w:szCs w:val="24"/>
          <w:lang w:eastAsia="en-GB"/>
        </w:rPr>
        <w:t>forc</w:t>
      </w:r>
      <w:r w:rsidR="00C41C1A">
        <w:rPr>
          <w:rFonts w:eastAsia="Times New Roman" w:cstheme="minorHAnsi"/>
          <w:sz w:val="24"/>
          <w:szCs w:val="24"/>
          <w:lang w:eastAsia="en-GB"/>
        </w:rPr>
        <w:t>ing</w:t>
      </w:r>
      <w:r w:rsidR="00C41C1A" w:rsidRPr="00423563">
        <w:rPr>
          <w:rFonts w:eastAsia="Times New Roman" w:cstheme="minorHAnsi"/>
          <w:sz w:val="24"/>
          <w:szCs w:val="24"/>
          <w:lang w:eastAsia="en-GB"/>
        </w:rPr>
        <w:t xml:space="preserve"> the redevelopment of the urban footprint</w:t>
      </w:r>
      <w:r w:rsidR="003205DC">
        <w:rPr>
          <w:rFonts w:eastAsia="Times New Roman" w:cstheme="minorHAnsi"/>
          <w:sz w:val="24"/>
          <w:szCs w:val="24"/>
          <w:lang w:eastAsia="en-GB"/>
        </w:rPr>
        <w:t>. T</w:t>
      </w:r>
      <w:r w:rsidR="0022600D" w:rsidRPr="00423563">
        <w:rPr>
          <w:rFonts w:eastAsia="Times New Roman" w:cstheme="minorHAnsi"/>
          <w:sz w:val="24"/>
          <w:szCs w:val="24"/>
          <w:lang w:eastAsia="en-GB"/>
        </w:rPr>
        <w:t>he</w:t>
      </w:r>
      <w:r w:rsidR="003205DC">
        <w:rPr>
          <w:rFonts w:eastAsia="Times New Roman" w:cstheme="minorHAnsi"/>
          <w:sz w:val="24"/>
          <w:szCs w:val="24"/>
          <w:lang w:eastAsia="en-GB"/>
        </w:rPr>
        <w:t>re is a</w:t>
      </w:r>
      <w:r w:rsidR="0022600D" w:rsidRPr="00423563">
        <w:rPr>
          <w:rFonts w:eastAsia="Times New Roman" w:cstheme="minorHAnsi"/>
          <w:sz w:val="24"/>
          <w:szCs w:val="24"/>
          <w:lang w:eastAsia="en-GB"/>
        </w:rPr>
        <w:t xml:space="preserve"> very real possibility that the very large number of brownfield sites which i</w:t>
      </w:r>
      <w:r w:rsidR="004503C7" w:rsidRPr="00423563">
        <w:rPr>
          <w:rFonts w:eastAsia="Times New Roman" w:cstheme="minorHAnsi"/>
          <w:sz w:val="24"/>
          <w:szCs w:val="24"/>
          <w:lang w:eastAsia="en-GB"/>
        </w:rPr>
        <w:t>t</w:t>
      </w:r>
      <w:r w:rsidR="0022600D" w:rsidRPr="00423563">
        <w:rPr>
          <w:rFonts w:eastAsia="Times New Roman" w:cstheme="minorHAnsi"/>
          <w:sz w:val="24"/>
          <w:szCs w:val="24"/>
          <w:lang w:eastAsia="en-GB"/>
        </w:rPr>
        <w:t xml:space="preserve"> has identified will </w:t>
      </w:r>
      <w:r w:rsidR="006753B9" w:rsidRPr="00423563">
        <w:rPr>
          <w:rFonts w:eastAsia="Times New Roman" w:cstheme="minorHAnsi"/>
          <w:sz w:val="24"/>
          <w:szCs w:val="24"/>
          <w:lang w:eastAsia="en-GB"/>
        </w:rPr>
        <w:t xml:space="preserve">sit idle while Green belt sites are brought forward </w:t>
      </w:r>
      <w:r w:rsidR="003205DC">
        <w:rPr>
          <w:rFonts w:eastAsia="Times New Roman" w:cstheme="minorHAnsi"/>
          <w:sz w:val="24"/>
          <w:szCs w:val="24"/>
          <w:lang w:eastAsia="en-GB"/>
        </w:rPr>
        <w:t xml:space="preserve">– </w:t>
      </w:r>
      <w:r w:rsidR="00A57B21">
        <w:rPr>
          <w:rFonts w:eastAsia="Times New Roman" w:cstheme="minorHAnsi"/>
          <w:sz w:val="24"/>
          <w:szCs w:val="24"/>
          <w:lang w:eastAsia="en-GB"/>
        </w:rPr>
        <w:t xml:space="preserve">undermining the </w:t>
      </w:r>
      <w:r w:rsidR="003205DC" w:rsidRPr="00423563">
        <w:rPr>
          <w:rFonts w:eastAsia="Times New Roman" w:cstheme="minorHAnsi"/>
          <w:sz w:val="24"/>
          <w:szCs w:val="24"/>
          <w:lang w:eastAsia="en-GB"/>
        </w:rPr>
        <w:t>Green Belt purpose</w:t>
      </w:r>
      <w:r w:rsidR="00A57B21">
        <w:rPr>
          <w:rFonts w:eastAsia="Times New Roman" w:cstheme="minorHAnsi"/>
          <w:sz w:val="24"/>
          <w:szCs w:val="24"/>
          <w:lang w:eastAsia="en-GB"/>
        </w:rPr>
        <w:t xml:space="preserve"> </w:t>
      </w:r>
      <w:r w:rsidR="007A194E">
        <w:rPr>
          <w:rFonts w:eastAsia="Times New Roman" w:cstheme="minorHAnsi"/>
          <w:sz w:val="24"/>
          <w:szCs w:val="24"/>
          <w:lang w:eastAsia="en-GB"/>
        </w:rPr>
        <w:t>of</w:t>
      </w:r>
      <w:r w:rsidR="00A57B21">
        <w:rPr>
          <w:rFonts w:eastAsia="Times New Roman" w:cstheme="minorHAnsi"/>
          <w:sz w:val="24"/>
          <w:szCs w:val="24"/>
          <w:lang w:eastAsia="en-GB"/>
        </w:rPr>
        <w:t xml:space="preserve"> promot</w:t>
      </w:r>
      <w:r w:rsidR="007A194E">
        <w:rPr>
          <w:rFonts w:eastAsia="Times New Roman" w:cstheme="minorHAnsi"/>
          <w:sz w:val="24"/>
          <w:szCs w:val="24"/>
          <w:lang w:eastAsia="en-GB"/>
        </w:rPr>
        <w:t>ing</w:t>
      </w:r>
      <w:r w:rsidR="00A57B21">
        <w:rPr>
          <w:rFonts w:eastAsia="Times New Roman" w:cstheme="minorHAnsi"/>
          <w:sz w:val="24"/>
          <w:szCs w:val="24"/>
          <w:lang w:eastAsia="en-GB"/>
        </w:rPr>
        <w:t xml:space="preserve"> regeneration of previously developed land.</w:t>
      </w:r>
    </w:p>
    <w:p w14:paraId="68973A73" w14:textId="0F535892" w:rsidR="00D92CA9" w:rsidRDefault="008F53C6" w:rsidP="00050CF5">
      <w:pPr>
        <w:pStyle w:val="ListParagraph"/>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Where boroughs are </w:t>
      </w:r>
      <w:r w:rsidRPr="00136D38">
        <w:rPr>
          <w:rFonts w:eastAsia="Times New Roman" w:cstheme="minorHAnsi"/>
          <w:b/>
          <w:bCs/>
          <w:sz w:val="24"/>
          <w:szCs w:val="24"/>
          <w:lang w:eastAsia="en-GB"/>
        </w:rPr>
        <w:t>constrained</w:t>
      </w:r>
      <w:r>
        <w:rPr>
          <w:rFonts w:eastAsia="Times New Roman" w:cstheme="minorHAnsi"/>
          <w:sz w:val="24"/>
          <w:szCs w:val="24"/>
          <w:lang w:eastAsia="en-GB"/>
        </w:rPr>
        <w:t xml:space="preserve"> by </w:t>
      </w:r>
      <w:r w:rsidR="003D6ACA">
        <w:rPr>
          <w:rFonts w:eastAsia="Times New Roman" w:cstheme="minorHAnsi"/>
          <w:sz w:val="24"/>
          <w:szCs w:val="24"/>
          <w:lang w:eastAsia="en-GB"/>
        </w:rPr>
        <w:t xml:space="preserve">Green Belt </w:t>
      </w:r>
      <w:r>
        <w:rPr>
          <w:rFonts w:eastAsia="Times New Roman" w:cstheme="minorHAnsi"/>
          <w:sz w:val="24"/>
          <w:szCs w:val="24"/>
          <w:lang w:eastAsia="en-GB"/>
        </w:rPr>
        <w:t xml:space="preserve">this can be </w:t>
      </w:r>
      <w:r w:rsidR="003D6ACA">
        <w:rPr>
          <w:rFonts w:eastAsia="Times New Roman" w:cstheme="minorHAnsi"/>
          <w:sz w:val="24"/>
          <w:szCs w:val="24"/>
          <w:lang w:eastAsia="en-GB"/>
        </w:rPr>
        <w:t xml:space="preserve">cited as a </w:t>
      </w:r>
      <w:r w:rsidR="0024701F">
        <w:rPr>
          <w:rFonts w:eastAsia="Times New Roman" w:cstheme="minorHAnsi"/>
          <w:sz w:val="24"/>
          <w:szCs w:val="24"/>
          <w:lang w:eastAsia="en-GB"/>
        </w:rPr>
        <w:t xml:space="preserve">reason for reducing housing targets however the borough has chosen not to consider Green Belt a constraint nor to make clear to </w:t>
      </w:r>
      <w:r w:rsidR="00136D38">
        <w:rPr>
          <w:rFonts w:eastAsia="Times New Roman" w:cstheme="minorHAnsi"/>
          <w:sz w:val="24"/>
          <w:szCs w:val="24"/>
          <w:lang w:eastAsia="en-GB"/>
        </w:rPr>
        <w:t xml:space="preserve">consultees </w:t>
      </w:r>
      <w:r w:rsidR="000D0F03">
        <w:rPr>
          <w:rFonts w:eastAsia="Times New Roman" w:cstheme="minorHAnsi"/>
          <w:sz w:val="24"/>
          <w:szCs w:val="24"/>
          <w:lang w:eastAsia="en-GB"/>
        </w:rPr>
        <w:t xml:space="preserve">that this was an option, nor </w:t>
      </w:r>
      <w:r w:rsidR="005759C4">
        <w:rPr>
          <w:rFonts w:eastAsia="Times New Roman" w:cstheme="minorHAnsi"/>
          <w:sz w:val="24"/>
          <w:szCs w:val="24"/>
          <w:lang w:eastAsia="en-GB"/>
        </w:rPr>
        <w:t xml:space="preserve">why </w:t>
      </w:r>
      <w:r w:rsidR="000D0F03">
        <w:rPr>
          <w:rFonts w:eastAsia="Times New Roman" w:cstheme="minorHAnsi"/>
          <w:sz w:val="24"/>
          <w:szCs w:val="24"/>
          <w:lang w:eastAsia="en-GB"/>
        </w:rPr>
        <w:t xml:space="preserve">it </w:t>
      </w:r>
      <w:r w:rsidR="005759C4">
        <w:rPr>
          <w:rFonts w:eastAsia="Times New Roman" w:cstheme="minorHAnsi"/>
          <w:sz w:val="24"/>
          <w:szCs w:val="24"/>
          <w:lang w:eastAsia="en-GB"/>
        </w:rPr>
        <w:t xml:space="preserve">was ruled out. </w:t>
      </w:r>
    </w:p>
    <w:p w14:paraId="4D8F95C1" w14:textId="49C893E7" w:rsidR="003B45AF" w:rsidRDefault="00C8489B" w:rsidP="0018296E">
      <w:pPr>
        <w:pStyle w:val="ListParagraph"/>
        <w:numPr>
          <w:ilvl w:val="0"/>
          <w:numId w:val="3"/>
        </w:numPr>
        <w:spacing w:after="0" w:line="240" w:lineRule="auto"/>
        <w:rPr>
          <w:rFonts w:cstheme="minorHAnsi"/>
          <w:sz w:val="24"/>
          <w:szCs w:val="24"/>
          <w:lang w:eastAsia="en-GB"/>
        </w:rPr>
      </w:pPr>
      <w:r w:rsidRPr="002D78CD">
        <w:rPr>
          <w:rFonts w:eastAsia="Times New Roman" w:cstheme="minorHAnsi"/>
          <w:b/>
          <w:bCs/>
          <w:sz w:val="24"/>
          <w:szCs w:val="24"/>
          <w:lang w:eastAsia="en-GB"/>
        </w:rPr>
        <w:t xml:space="preserve">The Consultation </w:t>
      </w:r>
      <w:r w:rsidR="00D81FA0">
        <w:rPr>
          <w:rFonts w:eastAsia="Times New Roman" w:cstheme="minorHAnsi"/>
          <w:b/>
          <w:bCs/>
          <w:sz w:val="24"/>
          <w:szCs w:val="24"/>
          <w:lang w:eastAsia="en-GB"/>
        </w:rPr>
        <w:t xml:space="preserve">fails to make clear the extent of changes to Green Belt and </w:t>
      </w:r>
      <w:r w:rsidRPr="002D78CD">
        <w:rPr>
          <w:rFonts w:eastAsia="Times New Roman" w:cstheme="minorHAnsi"/>
          <w:b/>
          <w:bCs/>
          <w:sz w:val="24"/>
          <w:szCs w:val="24"/>
          <w:lang w:eastAsia="en-GB"/>
        </w:rPr>
        <w:t>is misleading.</w:t>
      </w:r>
      <w:r w:rsidRPr="002D78CD">
        <w:rPr>
          <w:rFonts w:eastAsia="Times New Roman" w:cstheme="minorHAnsi"/>
          <w:sz w:val="24"/>
          <w:szCs w:val="24"/>
          <w:lang w:eastAsia="en-GB"/>
        </w:rPr>
        <w:t xml:space="preserve"> It states that the borough’s aim is to preserve Green Belt (p30) and that a ‘small number’ of green belt releases are justified but fails to make clear that 125 hectares are proposed for release and </w:t>
      </w:r>
      <w:r w:rsidR="00FE7370">
        <w:rPr>
          <w:rFonts w:eastAsia="Times New Roman" w:cstheme="minorHAnsi"/>
          <w:sz w:val="24"/>
          <w:szCs w:val="24"/>
          <w:lang w:eastAsia="en-GB"/>
        </w:rPr>
        <w:t>fails to state in the Site Allocations which sites are Green Belt (it presents the sites as already released)</w:t>
      </w:r>
      <w:r w:rsidRPr="002D78CD">
        <w:rPr>
          <w:rFonts w:eastAsia="Times New Roman" w:cstheme="minorHAnsi"/>
          <w:sz w:val="24"/>
          <w:szCs w:val="24"/>
          <w:lang w:eastAsia="en-GB"/>
        </w:rPr>
        <w:t xml:space="preserve">. This renders the consultation invalid. </w:t>
      </w:r>
      <w:r w:rsidR="00BD7877" w:rsidRPr="002D78CD">
        <w:rPr>
          <w:rFonts w:eastAsia="Times New Roman" w:cstheme="minorHAnsi"/>
          <w:sz w:val="24"/>
          <w:szCs w:val="24"/>
          <w:lang w:eastAsia="en-GB"/>
        </w:rPr>
        <w:t>Page 31</w:t>
      </w:r>
      <w:r w:rsidR="00D92CA9" w:rsidRPr="002D78CD">
        <w:rPr>
          <w:rFonts w:eastAsia="Times New Roman" w:cstheme="minorHAnsi"/>
          <w:sz w:val="24"/>
          <w:szCs w:val="24"/>
          <w:lang w:eastAsia="en-GB"/>
        </w:rPr>
        <w:t xml:space="preserve"> </w:t>
      </w:r>
      <w:r w:rsidR="00BD7877" w:rsidRPr="002D78CD">
        <w:rPr>
          <w:rFonts w:eastAsia="Times New Roman" w:cstheme="minorHAnsi"/>
          <w:sz w:val="24"/>
          <w:szCs w:val="24"/>
          <w:lang w:eastAsia="en-GB"/>
        </w:rPr>
        <w:t xml:space="preserve">states that the Borough’s strategic objective 10 is </w:t>
      </w:r>
      <w:r w:rsidRPr="002D78CD">
        <w:rPr>
          <w:rFonts w:eastAsia="Times New Roman" w:cstheme="minorHAnsi"/>
          <w:sz w:val="24"/>
          <w:szCs w:val="24"/>
          <w:lang w:eastAsia="en-GB"/>
        </w:rPr>
        <w:t>“</w:t>
      </w:r>
      <w:r w:rsidR="00BD7877" w:rsidRPr="002D78CD">
        <w:rPr>
          <w:rFonts w:eastAsia="Times New Roman" w:cstheme="minorHAnsi"/>
          <w:sz w:val="24"/>
          <w:szCs w:val="24"/>
          <w:lang w:eastAsia="en-GB"/>
        </w:rPr>
        <w:t>To protect and enhance the borough’s Green Belt, Metropolitan Open Land, open green spaces and create more accessible MOL and open spaces</w:t>
      </w:r>
      <w:r w:rsidRPr="002D78CD">
        <w:rPr>
          <w:rFonts w:eastAsia="Times New Roman" w:cstheme="minorHAnsi"/>
          <w:sz w:val="24"/>
          <w:szCs w:val="24"/>
          <w:lang w:eastAsia="en-GB"/>
        </w:rPr>
        <w:t xml:space="preserve">” and yet it is proposing to </w:t>
      </w:r>
      <w:r w:rsidR="00F673D1" w:rsidRPr="002D78CD">
        <w:rPr>
          <w:rFonts w:eastAsia="Times New Roman" w:cstheme="minorHAnsi"/>
          <w:sz w:val="24"/>
          <w:szCs w:val="24"/>
          <w:lang w:eastAsia="en-GB"/>
        </w:rPr>
        <w:t xml:space="preserve">release 125 hectares or 10% of its </w:t>
      </w:r>
      <w:r w:rsidR="00C11EA9" w:rsidRPr="002D78CD">
        <w:rPr>
          <w:rFonts w:eastAsia="Times New Roman" w:cstheme="minorHAnsi"/>
          <w:sz w:val="24"/>
          <w:szCs w:val="24"/>
          <w:lang w:eastAsia="en-GB"/>
        </w:rPr>
        <w:t>G</w:t>
      </w:r>
      <w:r w:rsidR="00F673D1" w:rsidRPr="002D78CD">
        <w:rPr>
          <w:rFonts w:eastAsia="Times New Roman" w:cstheme="minorHAnsi"/>
          <w:sz w:val="24"/>
          <w:szCs w:val="24"/>
          <w:lang w:eastAsia="en-GB"/>
        </w:rPr>
        <w:t xml:space="preserve">reen </w:t>
      </w:r>
      <w:r w:rsidR="00C11EA9" w:rsidRPr="002D78CD">
        <w:rPr>
          <w:rFonts w:eastAsia="Times New Roman" w:cstheme="minorHAnsi"/>
          <w:sz w:val="24"/>
          <w:szCs w:val="24"/>
          <w:lang w:eastAsia="en-GB"/>
        </w:rPr>
        <w:t>B</w:t>
      </w:r>
      <w:r w:rsidR="00F673D1" w:rsidRPr="002D78CD">
        <w:rPr>
          <w:rFonts w:eastAsia="Times New Roman" w:cstheme="minorHAnsi"/>
          <w:sz w:val="24"/>
          <w:szCs w:val="24"/>
          <w:lang w:eastAsia="en-GB"/>
        </w:rPr>
        <w:t>elt</w:t>
      </w:r>
      <w:r w:rsidR="005834E3" w:rsidRPr="002D78CD">
        <w:rPr>
          <w:rFonts w:eastAsia="Times New Roman" w:cstheme="minorHAnsi"/>
          <w:sz w:val="24"/>
          <w:szCs w:val="24"/>
          <w:lang w:eastAsia="en-GB"/>
        </w:rPr>
        <w:t xml:space="preserve">. </w:t>
      </w:r>
      <w:r w:rsidR="00D92CA9" w:rsidRPr="002D78CD">
        <w:rPr>
          <w:rFonts w:cstheme="minorHAnsi"/>
          <w:sz w:val="24"/>
          <w:szCs w:val="24"/>
        </w:rPr>
        <w:t>It states also that “</w:t>
      </w:r>
      <w:r w:rsidR="00D92CA9" w:rsidRPr="002D78CD">
        <w:rPr>
          <w:rFonts w:cstheme="minorHAnsi"/>
          <w:sz w:val="24"/>
          <w:szCs w:val="24"/>
          <w:lang w:eastAsia="en-GB"/>
        </w:rPr>
        <w:t xml:space="preserve">The Council considers that exceptional circumstances are demonstrated justifying a </w:t>
      </w:r>
      <w:r w:rsidR="00D92CA9" w:rsidRPr="002D78CD">
        <w:rPr>
          <w:rFonts w:cstheme="minorHAnsi"/>
          <w:sz w:val="24"/>
          <w:szCs w:val="24"/>
          <w:u w:val="single"/>
          <w:lang w:eastAsia="en-GB"/>
        </w:rPr>
        <w:t>small number</w:t>
      </w:r>
      <w:r w:rsidR="00D92CA9" w:rsidRPr="002D78CD">
        <w:rPr>
          <w:rFonts w:cstheme="minorHAnsi"/>
          <w:sz w:val="24"/>
          <w:szCs w:val="24"/>
          <w:lang w:eastAsia="en-GB"/>
        </w:rPr>
        <w:t xml:space="preserve"> of Green Belt releases..” </w:t>
      </w:r>
      <w:r w:rsidR="003B45AF" w:rsidRPr="002D78CD">
        <w:rPr>
          <w:rFonts w:cstheme="minorHAnsi"/>
          <w:sz w:val="24"/>
          <w:szCs w:val="24"/>
          <w:lang w:eastAsia="en-GB"/>
        </w:rPr>
        <w:t>(p60) b</w:t>
      </w:r>
      <w:r w:rsidR="00E15F60" w:rsidRPr="002D78CD">
        <w:rPr>
          <w:rFonts w:cstheme="minorHAnsi"/>
          <w:sz w:val="24"/>
          <w:szCs w:val="24"/>
          <w:lang w:eastAsia="en-GB"/>
        </w:rPr>
        <w:t>ut this cannot be regarded as ‘small’ by any comparison.</w:t>
      </w:r>
      <w:r w:rsidR="00D92CA9" w:rsidRPr="002D78CD">
        <w:rPr>
          <w:rFonts w:cstheme="minorHAnsi"/>
          <w:sz w:val="24"/>
          <w:szCs w:val="24"/>
          <w:lang w:eastAsia="en-GB"/>
        </w:rPr>
        <w:t xml:space="preserve"> </w:t>
      </w:r>
    </w:p>
    <w:p w14:paraId="4756751B" w14:textId="77777777" w:rsidR="002D78CD" w:rsidRPr="002D78CD" w:rsidRDefault="002D78CD" w:rsidP="002D78CD">
      <w:pPr>
        <w:spacing w:after="0" w:line="240" w:lineRule="auto"/>
        <w:rPr>
          <w:rFonts w:cstheme="minorHAnsi"/>
          <w:sz w:val="24"/>
          <w:szCs w:val="24"/>
          <w:lang w:eastAsia="en-GB"/>
        </w:rPr>
      </w:pPr>
    </w:p>
    <w:p w14:paraId="2FCDD1B3" w14:textId="1712EACE" w:rsidR="005F1E0F" w:rsidRPr="001A4102" w:rsidRDefault="005F1E0F" w:rsidP="0023407F">
      <w:pPr>
        <w:rPr>
          <w:rFonts w:cstheme="minorHAnsi"/>
          <w:b/>
          <w:bCs/>
          <w:sz w:val="24"/>
          <w:szCs w:val="24"/>
          <w:lang w:eastAsia="en-GB"/>
        </w:rPr>
      </w:pPr>
      <w:r w:rsidRPr="001A4102">
        <w:rPr>
          <w:rFonts w:cstheme="minorHAnsi"/>
          <w:b/>
          <w:bCs/>
          <w:sz w:val="24"/>
          <w:szCs w:val="24"/>
          <w:lang w:eastAsia="en-GB"/>
        </w:rPr>
        <w:t>Site Allocations</w:t>
      </w:r>
      <w:r w:rsidR="00DA22C6" w:rsidRPr="001A4102">
        <w:rPr>
          <w:rFonts w:cstheme="minorHAnsi"/>
          <w:b/>
          <w:bCs/>
          <w:sz w:val="24"/>
          <w:szCs w:val="24"/>
          <w:lang w:eastAsia="en-GB"/>
        </w:rPr>
        <w:t xml:space="preserve"> – showing Green Belt and S</w:t>
      </w:r>
      <w:r w:rsidR="001A4102" w:rsidRPr="001A4102">
        <w:rPr>
          <w:rFonts w:cstheme="minorHAnsi"/>
          <w:b/>
          <w:bCs/>
          <w:sz w:val="24"/>
          <w:szCs w:val="24"/>
          <w:lang w:eastAsia="en-GB"/>
        </w:rPr>
        <w:t>ites of Importance for Nature Conservation (S</w:t>
      </w:r>
      <w:r w:rsidR="00DA22C6" w:rsidRPr="001A4102">
        <w:rPr>
          <w:rFonts w:cstheme="minorHAnsi"/>
          <w:b/>
          <w:bCs/>
          <w:sz w:val="24"/>
          <w:szCs w:val="24"/>
          <w:lang w:eastAsia="en-GB"/>
        </w:rPr>
        <w:t>INC</w:t>
      </w:r>
      <w:r w:rsidR="001A4102" w:rsidRPr="001A4102">
        <w:rPr>
          <w:rFonts w:cstheme="minorHAnsi"/>
          <w:b/>
          <w:bCs/>
          <w:sz w:val="24"/>
          <w:szCs w:val="24"/>
          <w:lang w:eastAsia="en-GB"/>
        </w:rPr>
        <w:t xml:space="preserve">s). </w:t>
      </w:r>
    </w:p>
    <w:p w14:paraId="42243A97" w14:textId="77777777" w:rsidR="005F1E0F" w:rsidRDefault="004C4F69" w:rsidP="005F1E0F">
      <w:hyperlink r:id="rId12" w:history="1">
        <w:r w:rsidR="005F1E0F" w:rsidRPr="00A571B4">
          <w:rPr>
            <w:rStyle w:val="Hyperlink"/>
          </w:rPr>
          <w:t>https://hounslow.app.box.com/s/pagw8ymuwrklwb2uysouhob2vanqal1w</w:t>
        </w:r>
      </w:hyperlink>
    </w:p>
    <w:tbl>
      <w:tblPr>
        <w:tblStyle w:val="TableGrid"/>
        <w:tblW w:w="0" w:type="auto"/>
        <w:tblLook w:val="04A0" w:firstRow="1" w:lastRow="0" w:firstColumn="1" w:lastColumn="0" w:noHBand="0" w:noVBand="1"/>
      </w:tblPr>
      <w:tblGrid>
        <w:gridCol w:w="590"/>
        <w:gridCol w:w="5075"/>
        <w:gridCol w:w="1223"/>
        <w:gridCol w:w="1009"/>
        <w:gridCol w:w="1119"/>
      </w:tblGrid>
      <w:tr w:rsidR="005F1E0F" w14:paraId="150B7047" w14:textId="77777777" w:rsidTr="00D5644C">
        <w:tc>
          <w:tcPr>
            <w:tcW w:w="590" w:type="dxa"/>
          </w:tcPr>
          <w:p w14:paraId="02E88641" w14:textId="77777777" w:rsidR="005F1E0F" w:rsidRDefault="005F1E0F" w:rsidP="006B54D4"/>
        </w:tc>
        <w:tc>
          <w:tcPr>
            <w:tcW w:w="5075" w:type="dxa"/>
          </w:tcPr>
          <w:p w14:paraId="2D732576" w14:textId="77777777" w:rsidR="005F1E0F" w:rsidRDefault="005F1E0F" w:rsidP="006B54D4"/>
        </w:tc>
        <w:tc>
          <w:tcPr>
            <w:tcW w:w="1223" w:type="dxa"/>
          </w:tcPr>
          <w:p w14:paraId="3570DC0A" w14:textId="77777777" w:rsidR="005F1E0F" w:rsidRDefault="005F1E0F" w:rsidP="006B54D4"/>
        </w:tc>
        <w:tc>
          <w:tcPr>
            <w:tcW w:w="1009" w:type="dxa"/>
          </w:tcPr>
          <w:p w14:paraId="45B630A4" w14:textId="77777777" w:rsidR="005F1E0F" w:rsidRDefault="005F1E0F" w:rsidP="006B54D4"/>
        </w:tc>
        <w:tc>
          <w:tcPr>
            <w:tcW w:w="1119" w:type="dxa"/>
          </w:tcPr>
          <w:p w14:paraId="7974E894" w14:textId="77777777" w:rsidR="005F1E0F" w:rsidRDefault="005F1E0F" w:rsidP="00545FA9">
            <w:pPr>
              <w:jc w:val="center"/>
            </w:pPr>
            <w:r>
              <w:t>Size (hectares)</w:t>
            </w:r>
          </w:p>
        </w:tc>
      </w:tr>
      <w:tr w:rsidR="006B5D7B" w14:paraId="29856DA4" w14:textId="77777777" w:rsidTr="00D5644C">
        <w:tc>
          <w:tcPr>
            <w:tcW w:w="590" w:type="dxa"/>
            <w:shd w:val="clear" w:color="auto" w:fill="E7E6E6" w:themeFill="background2"/>
          </w:tcPr>
          <w:p w14:paraId="2259E8B8" w14:textId="77777777" w:rsidR="006B5D7B" w:rsidRDefault="006B5D7B" w:rsidP="006B54D4"/>
        </w:tc>
        <w:tc>
          <w:tcPr>
            <w:tcW w:w="5075" w:type="dxa"/>
            <w:shd w:val="clear" w:color="auto" w:fill="E7E6E6" w:themeFill="background2"/>
          </w:tcPr>
          <w:p w14:paraId="6E418E8B" w14:textId="0A07D1C6" w:rsidR="006B5D7B" w:rsidRPr="008F1947" w:rsidRDefault="00E9659C" w:rsidP="006B54D4">
            <w:pPr>
              <w:rPr>
                <w:b/>
                <w:bCs/>
              </w:rPr>
            </w:pPr>
            <w:r w:rsidRPr="008F1947">
              <w:rPr>
                <w:b/>
                <w:bCs/>
              </w:rPr>
              <w:t xml:space="preserve">Sites which are </w:t>
            </w:r>
            <w:r w:rsidR="008F1947">
              <w:rPr>
                <w:b/>
                <w:bCs/>
              </w:rPr>
              <w:t xml:space="preserve">proposed for removal from Green Belt without </w:t>
            </w:r>
            <w:r w:rsidR="0026469B">
              <w:rPr>
                <w:b/>
                <w:bCs/>
              </w:rPr>
              <w:t xml:space="preserve">sound </w:t>
            </w:r>
            <w:r w:rsidR="008F1947">
              <w:rPr>
                <w:b/>
                <w:bCs/>
              </w:rPr>
              <w:t>justification</w:t>
            </w:r>
          </w:p>
        </w:tc>
        <w:tc>
          <w:tcPr>
            <w:tcW w:w="1223" w:type="dxa"/>
            <w:shd w:val="clear" w:color="auto" w:fill="E7E6E6" w:themeFill="background2"/>
          </w:tcPr>
          <w:p w14:paraId="64065112" w14:textId="77777777" w:rsidR="006B5D7B" w:rsidRDefault="006B5D7B" w:rsidP="006B54D4"/>
        </w:tc>
        <w:tc>
          <w:tcPr>
            <w:tcW w:w="1009" w:type="dxa"/>
            <w:shd w:val="clear" w:color="auto" w:fill="E7E6E6" w:themeFill="background2"/>
          </w:tcPr>
          <w:p w14:paraId="61611300" w14:textId="77777777" w:rsidR="006B5D7B" w:rsidRDefault="006B5D7B" w:rsidP="006B54D4"/>
        </w:tc>
        <w:tc>
          <w:tcPr>
            <w:tcW w:w="1119" w:type="dxa"/>
            <w:shd w:val="clear" w:color="auto" w:fill="E7E6E6" w:themeFill="background2"/>
          </w:tcPr>
          <w:p w14:paraId="6422E3AE" w14:textId="77777777" w:rsidR="006B5D7B" w:rsidRDefault="006B5D7B" w:rsidP="00545FA9">
            <w:pPr>
              <w:jc w:val="center"/>
            </w:pPr>
          </w:p>
        </w:tc>
      </w:tr>
      <w:tr w:rsidR="005F1E0F" w14:paraId="26BF6602" w14:textId="77777777" w:rsidTr="00D5644C">
        <w:tc>
          <w:tcPr>
            <w:tcW w:w="590" w:type="dxa"/>
          </w:tcPr>
          <w:p w14:paraId="72DF06AB" w14:textId="77777777" w:rsidR="005F1E0F" w:rsidRDefault="005F1E0F" w:rsidP="006B54D4">
            <w:r>
              <w:t>38</w:t>
            </w:r>
          </w:p>
        </w:tc>
        <w:tc>
          <w:tcPr>
            <w:tcW w:w="5075" w:type="dxa"/>
          </w:tcPr>
          <w:p w14:paraId="710FB4C5" w14:textId="77777777" w:rsidR="005F1E0F" w:rsidRDefault="005F1E0F" w:rsidP="006B54D4">
            <w:r>
              <w:t>‘Heathrow Gateway’ – Green Belt. Also a SINC, scheduled ancient monument and Archaeological Priority Area</w:t>
            </w:r>
          </w:p>
        </w:tc>
        <w:tc>
          <w:tcPr>
            <w:tcW w:w="1223" w:type="dxa"/>
          </w:tcPr>
          <w:p w14:paraId="0296E414" w14:textId="77777777" w:rsidR="005F1E0F" w:rsidRDefault="005F1E0F" w:rsidP="006B54D4">
            <w:r>
              <w:t>Green Belt</w:t>
            </w:r>
          </w:p>
        </w:tc>
        <w:tc>
          <w:tcPr>
            <w:tcW w:w="1009" w:type="dxa"/>
          </w:tcPr>
          <w:p w14:paraId="71B88624" w14:textId="77777777" w:rsidR="005F1E0F" w:rsidRDefault="005F1E0F" w:rsidP="006B54D4">
            <w:r>
              <w:t>SINC</w:t>
            </w:r>
          </w:p>
        </w:tc>
        <w:tc>
          <w:tcPr>
            <w:tcW w:w="1119" w:type="dxa"/>
          </w:tcPr>
          <w:p w14:paraId="4EFEF9BB" w14:textId="77777777" w:rsidR="005F1E0F" w:rsidRDefault="005F1E0F" w:rsidP="00545FA9">
            <w:pPr>
              <w:jc w:val="center"/>
            </w:pPr>
            <w:r>
              <w:t>31.9</w:t>
            </w:r>
          </w:p>
        </w:tc>
      </w:tr>
      <w:tr w:rsidR="005F1E0F" w14:paraId="50E5D31B" w14:textId="77777777" w:rsidTr="00D5644C">
        <w:tc>
          <w:tcPr>
            <w:tcW w:w="590" w:type="dxa"/>
          </w:tcPr>
          <w:p w14:paraId="17B923DC" w14:textId="77777777" w:rsidR="005F1E0F" w:rsidRDefault="005F1E0F" w:rsidP="006B54D4">
            <w:r>
              <w:t>39</w:t>
            </w:r>
          </w:p>
        </w:tc>
        <w:tc>
          <w:tcPr>
            <w:tcW w:w="5075" w:type="dxa"/>
          </w:tcPr>
          <w:p w14:paraId="34A16D30" w14:textId="77777777" w:rsidR="005F1E0F" w:rsidRDefault="005F1E0F" w:rsidP="006B54D4">
            <w:r>
              <w:t>‘South Bedfont’ – SINC</w:t>
            </w:r>
          </w:p>
        </w:tc>
        <w:tc>
          <w:tcPr>
            <w:tcW w:w="1223" w:type="dxa"/>
          </w:tcPr>
          <w:p w14:paraId="2FE6A21B" w14:textId="77777777" w:rsidR="005F1E0F" w:rsidRDefault="005F1E0F" w:rsidP="006B54D4">
            <w:r w:rsidRPr="00944754">
              <w:t>Green Belt</w:t>
            </w:r>
          </w:p>
        </w:tc>
        <w:tc>
          <w:tcPr>
            <w:tcW w:w="1009" w:type="dxa"/>
          </w:tcPr>
          <w:p w14:paraId="3DE5AD37" w14:textId="77777777" w:rsidR="005F1E0F" w:rsidRDefault="005F1E0F" w:rsidP="006B54D4">
            <w:r>
              <w:t>SINC</w:t>
            </w:r>
          </w:p>
        </w:tc>
        <w:tc>
          <w:tcPr>
            <w:tcW w:w="1119" w:type="dxa"/>
          </w:tcPr>
          <w:p w14:paraId="2F32F4CB" w14:textId="77777777" w:rsidR="005F1E0F" w:rsidRDefault="005F1E0F" w:rsidP="00545FA9">
            <w:pPr>
              <w:jc w:val="center"/>
            </w:pPr>
            <w:r>
              <w:t>10</w:t>
            </w:r>
          </w:p>
        </w:tc>
      </w:tr>
      <w:tr w:rsidR="005F1E0F" w14:paraId="06AD89B6" w14:textId="77777777" w:rsidTr="00D5644C">
        <w:tc>
          <w:tcPr>
            <w:tcW w:w="590" w:type="dxa"/>
          </w:tcPr>
          <w:p w14:paraId="1BE097F7" w14:textId="77777777" w:rsidR="005F1E0F" w:rsidRDefault="005F1E0F" w:rsidP="006B54D4">
            <w:r>
              <w:t>40</w:t>
            </w:r>
          </w:p>
        </w:tc>
        <w:tc>
          <w:tcPr>
            <w:tcW w:w="5075" w:type="dxa"/>
          </w:tcPr>
          <w:p w14:paraId="12329A74" w14:textId="77777777" w:rsidR="005F1E0F" w:rsidRDefault="005F1E0F" w:rsidP="006B54D4">
            <w:r>
              <w:t xml:space="preserve">‘Bedfont Gardens’ – SINC </w:t>
            </w:r>
          </w:p>
        </w:tc>
        <w:tc>
          <w:tcPr>
            <w:tcW w:w="1223" w:type="dxa"/>
          </w:tcPr>
          <w:p w14:paraId="3A5BFEB3" w14:textId="77777777" w:rsidR="005F1E0F" w:rsidRDefault="005F1E0F" w:rsidP="006B54D4">
            <w:r w:rsidRPr="00944754">
              <w:t>Green Belt</w:t>
            </w:r>
          </w:p>
        </w:tc>
        <w:tc>
          <w:tcPr>
            <w:tcW w:w="1009" w:type="dxa"/>
          </w:tcPr>
          <w:p w14:paraId="7646F975" w14:textId="77777777" w:rsidR="005F1E0F" w:rsidRDefault="005F1E0F" w:rsidP="006B54D4">
            <w:r>
              <w:t>SINC</w:t>
            </w:r>
          </w:p>
        </w:tc>
        <w:tc>
          <w:tcPr>
            <w:tcW w:w="1119" w:type="dxa"/>
          </w:tcPr>
          <w:p w14:paraId="1BDCF4F1" w14:textId="77777777" w:rsidR="005F1E0F" w:rsidRDefault="005F1E0F" w:rsidP="00545FA9">
            <w:pPr>
              <w:jc w:val="center"/>
            </w:pPr>
            <w:r>
              <w:t>6.9</w:t>
            </w:r>
          </w:p>
        </w:tc>
      </w:tr>
      <w:tr w:rsidR="005F1E0F" w14:paraId="54DB508F" w14:textId="77777777" w:rsidTr="00D5644C">
        <w:tc>
          <w:tcPr>
            <w:tcW w:w="590" w:type="dxa"/>
          </w:tcPr>
          <w:p w14:paraId="4A88BB85" w14:textId="77777777" w:rsidR="005F1E0F" w:rsidRDefault="005F1E0F" w:rsidP="006B54D4">
            <w:r>
              <w:t>41</w:t>
            </w:r>
          </w:p>
        </w:tc>
        <w:tc>
          <w:tcPr>
            <w:tcW w:w="5075" w:type="dxa"/>
          </w:tcPr>
          <w:p w14:paraId="7A8EC431" w14:textId="77777777" w:rsidR="005F1E0F" w:rsidRDefault="005F1E0F" w:rsidP="006B54D4">
            <w:r>
              <w:t>‘Bedfont Gardens’ / land at Southville Crescent</w:t>
            </w:r>
          </w:p>
        </w:tc>
        <w:tc>
          <w:tcPr>
            <w:tcW w:w="1223" w:type="dxa"/>
          </w:tcPr>
          <w:p w14:paraId="520974B3" w14:textId="77777777" w:rsidR="005F1E0F" w:rsidRDefault="005F1E0F" w:rsidP="006B54D4">
            <w:r w:rsidRPr="00944754">
              <w:t>Green Belt</w:t>
            </w:r>
          </w:p>
        </w:tc>
        <w:tc>
          <w:tcPr>
            <w:tcW w:w="1009" w:type="dxa"/>
          </w:tcPr>
          <w:p w14:paraId="4FCEDC41" w14:textId="77777777" w:rsidR="005F1E0F" w:rsidRDefault="005F1E0F" w:rsidP="006B54D4"/>
        </w:tc>
        <w:tc>
          <w:tcPr>
            <w:tcW w:w="1119" w:type="dxa"/>
          </w:tcPr>
          <w:p w14:paraId="4DE492AA" w14:textId="77777777" w:rsidR="005F1E0F" w:rsidRDefault="005F1E0F" w:rsidP="00545FA9">
            <w:pPr>
              <w:jc w:val="center"/>
            </w:pPr>
            <w:r>
              <w:t>1.5</w:t>
            </w:r>
          </w:p>
        </w:tc>
      </w:tr>
      <w:tr w:rsidR="005F1E0F" w14:paraId="18FFF142" w14:textId="77777777" w:rsidTr="00D5644C">
        <w:tc>
          <w:tcPr>
            <w:tcW w:w="590" w:type="dxa"/>
          </w:tcPr>
          <w:p w14:paraId="7CAE5EC1" w14:textId="77777777" w:rsidR="005F1E0F" w:rsidRDefault="005F1E0F" w:rsidP="006B54D4">
            <w:r>
              <w:t>44</w:t>
            </w:r>
          </w:p>
        </w:tc>
        <w:tc>
          <w:tcPr>
            <w:tcW w:w="5075" w:type="dxa"/>
          </w:tcPr>
          <w:p w14:paraId="48760607" w14:textId="77777777" w:rsidR="005F1E0F" w:rsidRDefault="005F1E0F" w:rsidP="006B54D4">
            <w:r>
              <w:t xml:space="preserve">‘Central Park Trading Estate’ – adjacent to SINC. Several trees subject to TPO. </w:t>
            </w:r>
          </w:p>
        </w:tc>
        <w:tc>
          <w:tcPr>
            <w:tcW w:w="1223" w:type="dxa"/>
          </w:tcPr>
          <w:p w14:paraId="72D21461" w14:textId="77777777" w:rsidR="005F1E0F" w:rsidRDefault="005F1E0F" w:rsidP="006B54D4">
            <w:r w:rsidRPr="00944754">
              <w:t>Green Belt</w:t>
            </w:r>
          </w:p>
        </w:tc>
        <w:tc>
          <w:tcPr>
            <w:tcW w:w="1009" w:type="dxa"/>
          </w:tcPr>
          <w:p w14:paraId="0064C547" w14:textId="77777777" w:rsidR="005F1E0F" w:rsidRDefault="005F1E0F" w:rsidP="006B54D4">
            <w:r>
              <w:t>Adjacent to SINC</w:t>
            </w:r>
          </w:p>
        </w:tc>
        <w:tc>
          <w:tcPr>
            <w:tcW w:w="1119" w:type="dxa"/>
          </w:tcPr>
          <w:p w14:paraId="34F0E7F8" w14:textId="77777777" w:rsidR="005F1E0F" w:rsidRDefault="005F1E0F" w:rsidP="00545FA9">
            <w:pPr>
              <w:jc w:val="center"/>
            </w:pPr>
            <w:r>
              <w:t>4.1</w:t>
            </w:r>
          </w:p>
        </w:tc>
      </w:tr>
      <w:tr w:rsidR="005F1E0F" w14:paraId="59540069" w14:textId="77777777" w:rsidTr="00D5644C">
        <w:tc>
          <w:tcPr>
            <w:tcW w:w="590" w:type="dxa"/>
          </w:tcPr>
          <w:p w14:paraId="2DD742E0" w14:textId="77777777" w:rsidR="005F1E0F" w:rsidRDefault="005F1E0F" w:rsidP="006B54D4">
            <w:r>
              <w:t>46</w:t>
            </w:r>
          </w:p>
        </w:tc>
        <w:tc>
          <w:tcPr>
            <w:tcW w:w="5075" w:type="dxa"/>
          </w:tcPr>
          <w:p w14:paraId="362D534F" w14:textId="77777777" w:rsidR="005F1E0F" w:rsidRDefault="005F1E0F" w:rsidP="006B54D4">
            <w:r>
              <w:t>Ron Smith Recycling, Green Lane – adjacent to SINC, Flood Zone, Archaeological Priority Area</w:t>
            </w:r>
          </w:p>
        </w:tc>
        <w:tc>
          <w:tcPr>
            <w:tcW w:w="1223" w:type="dxa"/>
          </w:tcPr>
          <w:p w14:paraId="03E1BF91" w14:textId="77777777" w:rsidR="005F1E0F" w:rsidRDefault="005F1E0F" w:rsidP="006B54D4">
            <w:r w:rsidRPr="00944754">
              <w:t>Green Belt</w:t>
            </w:r>
          </w:p>
        </w:tc>
        <w:tc>
          <w:tcPr>
            <w:tcW w:w="1009" w:type="dxa"/>
          </w:tcPr>
          <w:p w14:paraId="067EC431" w14:textId="77777777" w:rsidR="005F1E0F" w:rsidRDefault="005F1E0F" w:rsidP="006B54D4">
            <w:r>
              <w:t>Adjacent to SINC</w:t>
            </w:r>
          </w:p>
        </w:tc>
        <w:tc>
          <w:tcPr>
            <w:tcW w:w="1119" w:type="dxa"/>
          </w:tcPr>
          <w:p w14:paraId="48394D37" w14:textId="77777777" w:rsidR="005F1E0F" w:rsidRDefault="005F1E0F" w:rsidP="00545FA9">
            <w:pPr>
              <w:jc w:val="center"/>
            </w:pPr>
            <w:r>
              <w:t>2.5</w:t>
            </w:r>
          </w:p>
        </w:tc>
      </w:tr>
      <w:tr w:rsidR="005F1E0F" w14:paraId="7D0CEAED" w14:textId="77777777" w:rsidTr="00D5644C">
        <w:tc>
          <w:tcPr>
            <w:tcW w:w="590" w:type="dxa"/>
          </w:tcPr>
          <w:p w14:paraId="06A09649" w14:textId="77777777" w:rsidR="005F1E0F" w:rsidRDefault="005F1E0F" w:rsidP="006B54D4">
            <w:r>
              <w:t>48</w:t>
            </w:r>
          </w:p>
        </w:tc>
        <w:tc>
          <w:tcPr>
            <w:tcW w:w="5075" w:type="dxa"/>
          </w:tcPr>
          <w:p w14:paraId="59B235B3" w14:textId="77777777" w:rsidR="005F1E0F" w:rsidRDefault="005F1E0F" w:rsidP="006B54D4">
            <w:r>
              <w:t>Vacant land at Dick Turpin Way – TPOs, BAA Public Safety Zone</w:t>
            </w:r>
          </w:p>
        </w:tc>
        <w:tc>
          <w:tcPr>
            <w:tcW w:w="1223" w:type="dxa"/>
          </w:tcPr>
          <w:p w14:paraId="24C3034C" w14:textId="77777777" w:rsidR="005F1E0F" w:rsidRDefault="005F1E0F" w:rsidP="006B54D4">
            <w:r w:rsidRPr="00944754">
              <w:t>Green Belt</w:t>
            </w:r>
          </w:p>
        </w:tc>
        <w:tc>
          <w:tcPr>
            <w:tcW w:w="1009" w:type="dxa"/>
          </w:tcPr>
          <w:p w14:paraId="68624A55" w14:textId="77777777" w:rsidR="005F1E0F" w:rsidRDefault="005F1E0F" w:rsidP="006B54D4"/>
        </w:tc>
        <w:tc>
          <w:tcPr>
            <w:tcW w:w="1119" w:type="dxa"/>
          </w:tcPr>
          <w:p w14:paraId="1DCA82E9" w14:textId="1EDBE377" w:rsidR="005F1E0F" w:rsidRDefault="005F1E0F" w:rsidP="00545FA9">
            <w:pPr>
              <w:jc w:val="center"/>
            </w:pPr>
            <w:r>
              <w:t>3</w:t>
            </w:r>
            <w:r w:rsidR="00453CC5">
              <w:t>.8</w:t>
            </w:r>
          </w:p>
        </w:tc>
      </w:tr>
      <w:tr w:rsidR="005F1E0F" w14:paraId="73544B80" w14:textId="77777777" w:rsidTr="00D5644C">
        <w:tc>
          <w:tcPr>
            <w:tcW w:w="590" w:type="dxa"/>
          </w:tcPr>
          <w:p w14:paraId="739D6E78" w14:textId="77777777" w:rsidR="005F1E0F" w:rsidRDefault="005F1E0F" w:rsidP="006B54D4">
            <w:r>
              <w:t>49</w:t>
            </w:r>
          </w:p>
        </w:tc>
        <w:tc>
          <w:tcPr>
            <w:tcW w:w="5075" w:type="dxa"/>
          </w:tcPr>
          <w:p w14:paraId="79A3F2D8" w14:textId="77777777" w:rsidR="005F1E0F" w:rsidRDefault="005F1E0F" w:rsidP="006B54D4">
            <w:r>
              <w:t>Site at Faggs Road – adjacent to SINC, BAA Public Safety Zone</w:t>
            </w:r>
          </w:p>
        </w:tc>
        <w:tc>
          <w:tcPr>
            <w:tcW w:w="1223" w:type="dxa"/>
          </w:tcPr>
          <w:p w14:paraId="21A82F0C" w14:textId="77777777" w:rsidR="005F1E0F" w:rsidRDefault="005F1E0F" w:rsidP="006B54D4">
            <w:r w:rsidRPr="00944754">
              <w:t>Green Belt</w:t>
            </w:r>
          </w:p>
        </w:tc>
        <w:tc>
          <w:tcPr>
            <w:tcW w:w="1009" w:type="dxa"/>
          </w:tcPr>
          <w:p w14:paraId="4C21AC76" w14:textId="77777777" w:rsidR="005F1E0F" w:rsidRDefault="005F1E0F" w:rsidP="006B54D4">
            <w:r>
              <w:t>Adjacent to SINC</w:t>
            </w:r>
          </w:p>
        </w:tc>
        <w:tc>
          <w:tcPr>
            <w:tcW w:w="1119" w:type="dxa"/>
          </w:tcPr>
          <w:p w14:paraId="42E2012F" w14:textId="00948589" w:rsidR="005F1E0F" w:rsidRDefault="005F1E0F" w:rsidP="00545FA9">
            <w:pPr>
              <w:jc w:val="center"/>
            </w:pPr>
            <w:r>
              <w:t>1.</w:t>
            </w:r>
            <w:r w:rsidR="00453CC5">
              <w:t>8</w:t>
            </w:r>
            <w:r>
              <w:t xml:space="preserve"> (approx. half is GB)</w:t>
            </w:r>
          </w:p>
        </w:tc>
      </w:tr>
      <w:tr w:rsidR="005F1E0F" w14:paraId="0F5C2E8A" w14:textId="77777777" w:rsidTr="00D5644C">
        <w:tc>
          <w:tcPr>
            <w:tcW w:w="590" w:type="dxa"/>
          </w:tcPr>
          <w:p w14:paraId="03E16F21" w14:textId="77777777" w:rsidR="005F1E0F" w:rsidRDefault="005F1E0F" w:rsidP="006B54D4">
            <w:r>
              <w:t>57</w:t>
            </w:r>
          </w:p>
        </w:tc>
        <w:tc>
          <w:tcPr>
            <w:tcW w:w="5075" w:type="dxa"/>
          </w:tcPr>
          <w:p w14:paraId="7A7101C0" w14:textId="77777777" w:rsidR="005F1E0F" w:rsidRDefault="005F1E0F" w:rsidP="006B54D4">
            <w:r>
              <w:t>‘Airport Business Park’ – Adjoins SINC</w:t>
            </w:r>
          </w:p>
        </w:tc>
        <w:tc>
          <w:tcPr>
            <w:tcW w:w="1223" w:type="dxa"/>
          </w:tcPr>
          <w:p w14:paraId="5C5D2EDD" w14:textId="77777777" w:rsidR="005F1E0F" w:rsidRDefault="005F1E0F" w:rsidP="006B54D4">
            <w:r w:rsidRPr="00944754">
              <w:t>Green Belt</w:t>
            </w:r>
          </w:p>
        </w:tc>
        <w:tc>
          <w:tcPr>
            <w:tcW w:w="1009" w:type="dxa"/>
          </w:tcPr>
          <w:p w14:paraId="7DDBC7E5" w14:textId="77777777" w:rsidR="005F1E0F" w:rsidRDefault="005F1E0F" w:rsidP="006B54D4">
            <w:r>
              <w:t>Adjoins SINC</w:t>
            </w:r>
          </w:p>
        </w:tc>
        <w:tc>
          <w:tcPr>
            <w:tcW w:w="1119" w:type="dxa"/>
          </w:tcPr>
          <w:p w14:paraId="7390A6CE" w14:textId="77777777" w:rsidR="005F1E0F" w:rsidRDefault="005F1E0F" w:rsidP="00545FA9">
            <w:pPr>
              <w:jc w:val="center"/>
            </w:pPr>
            <w:r>
              <w:t>47.1</w:t>
            </w:r>
          </w:p>
        </w:tc>
      </w:tr>
      <w:tr w:rsidR="005F1E0F" w14:paraId="54A2D437" w14:textId="77777777" w:rsidTr="00D5644C">
        <w:tc>
          <w:tcPr>
            <w:tcW w:w="590" w:type="dxa"/>
          </w:tcPr>
          <w:p w14:paraId="5E7227CB" w14:textId="77777777" w:rsidR="005F1E0F" w:rsidRDefault="005F1E0F" w:rsidP="006B54D4">
            <w:r>
              <w:t>58</w:t>
            </w:r>
          </w:p>
        </w:tc>
        <w:tc>
          <w:tcPr>
            <w:tcW w:w="5075" w:type="dxa"/>
          </w:tcPr>
          <w:p w14:paraId="5C6D7168" w14:textId="77777777" w:rsidR="005F1E0F" w:rsidRDefault="005F1E0F" w:rsidP="006B54D4">
            <w:r>
              <w:t>Lower Feltham West – SINC</w:t>
            </w:r>
          </w:p>
        </w:tc>
        <w:tc>
          <w:tcPr>
            <w:tcW w:w="1223" w:type="dxa"/>
          </w:tcPr>
          <w:p w14:paraId="6DA49ABD" w14:textId="77777777" w:rsidR="005F1E0F" w:rsidRDefault="005F1E0F" w:rsidP="006B54D4">
            <w:r w:rsidRPr="00944754">
              <w:t>Green Belt</w:t>
            </w:r>
          </w:p>
        </w:tc>
        <w:tc>
          <w:tcPr>
            <w:tcW w:w="1009" w:type="dxa"/>
          </w:tcPr>
          <w:p w14:paraId="5ED13D71" w14:textId="77777777" w:rsidR="005F1E0F" w:rsidRDefault="005F1E0F" w:rsidP="006B54D4">
            <w:r>
              <w:t>SINC</w:t>
            </w:r>
          </w:p>
        </w:tc>
        <w:tc>
          <w:tcPr>
            <w:tcW w:w="1119" w:type="dxa"/>
          </w:tcPr>
          <w:p w14:paraId="1C2F10C3" w14:textId="77777777" w:rsidR="005F1E0F" w:rsidRDefault="005F1E0F" w:rsidP="00545FA9">
            <w:pPr>
              <w:jc w:val="center"/>
            </w:pPr>
            <w:r>
              <w:t>2.3</w:t>
            </w:r>
          </w:p>
        </w:tc>
      </w:tr>
      <w:tr w:rsidR="005F1E0F" w14:paraId="57F01751" w14:textId="77777777" w:rsidTr="00D5644C">
        <w:tc>
          <w:tcPr>
            <w:tcW w:w="590" w:type="dxa"/>
          </w:tcPr>
          <w:p w14:paraId="05B437D9" w14:textId="77777777" w:rsidR="005F1E0F" w:rsidRDefault="005F1E0F" w:rsidP="006B54D4">
            <w:r>
              <w:lastRenderedPageBreak/>
              <w:t>77</w:t>
            </w:r>
          </w:p>
        </w:tc>
        <w:tc>
          <w:tcPr>
            <w:tcW w:w="5075" w:type="dxa"/>
          </w:tcPr>
          <w:p w14:paraId="6DCF2897" w14:textId="77777777" w:rsidR="005F1E0F" w:rsidRDefault="005F1E0F" w:rsidP="006B54D4">
            <w:r>
              <w:t>Land South of Western International Market</w:t>
            </w:r>
          </w:p>
        </w:tc>
        <w:tc>
          <w:tcPr>
            <w:tcW w:w="1223" w:type="dxa"/>
          </w:tcPr>
          <w:p w14:paraId="3F5521DD" w14:textId="77777777" w:rsidR="005F1E0F" w:rsidRDefault="005F1E0F" w:rsidP="006B54D4">
            <w:r w:rsidRPr="00944754">
              <w:t>Green Belt</w:t>
            </w:r>
          </w:p>
        </w:tc>
        <w:tc>
          <w:tcPr>
            <w:tcW w:w="1009" w:type="dxa"/>
          </w:tcPr>
          <w:p w14:paraId="4001029D" w14:textId="77777777" w:rsidR="005F1E0F" w:rsidRDefault="005F1E0F" w:rsidP="006B54D4"/>
        </w:tc>
        <w:tc>
          <w:tcPr>
            <w:tcW w:w="1119" w:type="dxa"/>
          </w:tcPr>
          <w:p w14:paraId="01CE0706" w14:textId="77777777" w:rsidR="005F1E0F" w:rsidRDefault="005F1E0F" w:rsidP="00545FA9">
            <w:pPr>
              <w:jc w:val="center"/>
            </w:pPr>
            <w:r>
              <w:t>14.4</w:t>
            </w:r>
          </w:p>
        </w:tc>
      </w:tr>
      <w:tr w:rsidR="005F1E0F" w14:paraId="29CBC771" w14:textId="77777777" w:rsidTr="00D5644C">
        <w:tc>
          <w:tcPr>
            <w:tcW w:w="590" w:type="dxa"/>
          </w:tcPr>
          <w:p w14:paraId="30BB69BA" w14:textId="77777777" w:rsidR="005F1E0F" w:rsidRDefault="005F1E0F" w:rsidP="006B54D4">
            <w:r>
              <w:t>78</w:t>
            </w:r>
          </w:p>
        </w:tc>
        <w:tc>
          <w:tcPr>
            <w:tcW w:w="5075" w:type="dxa"/>
          </w:tcPr>
          <w:p w14:paraId="20D3D33F" w14:textId="77777777" w:rsidR="005F1E0F" w:rsidRDefault="005F1E0F" w:rsidP="006B54D4">
            <w:r>
              <w:t>Land at Hartlands Caravan Park – Traveller allocation</w:t>
            </w:r>
          </w:p>
        </w:tc>
        <w:tc>
          <w:tcPr>
            <w:tcW w:w="1223" w:type="dxa"/>
          </w:tcPr>
          <w:p w14:paraId="795BE715" w14:textId="77777777" w:rsidR="005F1E0F" w:rsidRDefault="005F1E0F" w:rsidP="006B54D4">
            <w:r w:rsidRPr="00944754">
              <w:t>Green Belt</w:t>
            </w:r>
          </w:p>
        </w:tc>
        <w:tc>
          <w:tcPr>
            <w:tcW w:w="1009" w:type="dxa"/>
          </w:tcPr>
          <w:p w14:paraId="55BD109B" w14:textId="77777777" w:rsidR="005F1E0F" w:rsidRDefault="005F1E0F" w:rsidP="006B54D4"/>
        </w:tc>
        <w:tc>
          <w:tcPr>
            <w:tcW w:w="1119" w:type="dxa"/>
          </w:tcPr>
          <w:p w14:paraId="5132ED70" w14:textId="77777777" w:rsidR="005F1E0F" w:rsidRDefault="005F1E0F" w:rsidP="00545FA9">
            <w:pPr>
              <w:jc w:val="center"/>
            </w:pPr>
            <w:r>
              <w:t>2.4</w:t>
            </w:r>
          </w:p>
        </w:tc>
      </w:tr>
      <w:tr w:rsidR="005F1E0F" w14:paraId="3C1C60FD" w14:textId="77777777" w:rsidTr="00D5644C">
        <w:tc>
          <w:tcPr>
            <w:tcW w:w="590" w:type="dxa"/>
          </w:tcPr>
          <w:p w14:paraId="09AF0728" w14:textId="77777777" w:rsidR="005F1E0F" w:rsidRDefault="005F1E0F" w:rsidP="006B54D4">
            <w:r>
              <w:t>79</w:t>
            </w:r>
          </w:p>
        </w:tc>
        <w:tc>
          <w:tcPr>
            <w:tcW w:w="5075" w:type="dxa"/>
          </w:tcPr>
          <w:p w14:paraId="1AB2397D" w14:textId="77777777" w:rsidR="005F1E0F" w:rsidRDefault="005F1E0F" w:rsidP="006B54D4">
            <w:r>
              <w:t>Baber Bridge Caravan Site – Traveller allocation</w:t>
            </w:r>
          </w:p>
        </w:tc>
        <w:tc>
          <w:tcPr>
            <w:tcW w:w="1223" w:type="dxa"/>
          </w:tcPr>
          <w:p w14:paraId="42542D7A" w14:textId="77777777" w:rsidR="005F1E0F" w:rsidRDefault="005F1E0F" w:rsidP="006B54D4">
            <w:r w:rsidRPr="00944754">
              <w:t>Green Belt</w:t>
            </w:r>
          </w:p>
        </w:tc>
        <w:tc>
          <w:tcPr>
            <w:tcW w:w="1009" w:type="dxa"/>
          </w:tcPr>
          <w:p w14:paraId="32617C96" w14:textId="77777777" w:rsidR="005F1E0F" w:rsidRDefault="005F1E0F" w:rsidP="006B54D4"/>
        </w:tc>
        <w:tc>
          <w:tcPr>
            <w:tcW w:w="1119" w:type="dxa"/>
          </w:tcPr>
          <w:p w14:paraId="60F5431C" w14:textId="77777777" w:rsidR="005F1E0F" w:rsidRDefault="005F1E0F" w:rsidP="00545FA9">
            <w:pPr>
              <w:jc w:val="center"/>
            </w:pPr>
            <w:r>
              <w:t>0.8</w:t>
            </w:r>
          </w:p>
        </w:tc>
      </w:tr>
      <w:tr w:rsidR="005F1E0F" w14:paraId="7469DF5E" w14:textId="77777777" w:rsidTr="00D5644C">
        <w:tc>
          <w:tcPr>
            <w:tcW w:w="590" w:type="dxa"/>
          </w:tcPr>
          <w:p w14:paraId="27C19F41" w14:textId="77777777" w:rsidR="005F1E0F" w:rsidRDefault="005F1E0F" w:rsidP="006B54D4"/>
        </w:tc>
        <w:tc>
          <w:tcPr>
            <w:tcW w:w="5075" w:type="dxa"/>
          </w:tcPr>
          <w:p w14:paraId="4A07562E" w14:textId="77777777" w:rsidR="005F1E0F" w:rsidRDefault="005F1E0F" w:rsidP="006B54D4">
            <w:r>
              <w:t>125.49h without traveller allocation</w:t>
            </w:r>
          </w:p>
        </w:tc>
        <w:tc>
          <w:tcPr>
            <w:tcW w:w="1223" w:type="dxa"/>
          </w:tcPr>
          <w:p w14:paraId="16820D30" w14:textId="77777777" w:rsidR="005F1E0F" w:rsidRDefault="005F1E0F" w:rsidP="006B54D4">
            <w:r w:rsidRPr="00944754">
              <w:t>Green Belt</w:t>
            </w:r>
          </w:p>
        </w:tc>
        <w:tc>
          <w:tcPr>
            <w:tcW w:w="1009" w:type="dxa"/>
          </w:tcPr>
          <w:p w14:paraId="1640A230" w14:textId="77777777" w:rsidR="005F1E0F" w:rsidRDefault="005F1E0F" w:rsidP="006B54D4"/>
        </w:tc>
        <w:tc>
          <w:tcPr>
            <w:tcW w:w="1119" w:type="dxa"/>
          </w:tcPr>
          <w:p w14:paraId="489AC44F" w14:textId="77777777" w:rsidR="005F1E0F" w:rsidRDefault="005F1E0F" w:rsidP="00545FA9">
            <w:pPr>
              <w:jc w:val="center"/>
            </w:pPr>
          </w:p>
        </w:tc>
      </w:tr>
      <w:tr w:rsidR="005F1E0F" w14:paraId="21958670" w14:textId="77777777" w:rsidTr="00D5644C">
        <w:tc>
          <w:tcPr>
            <w:tcW w:w="590" w:type="dxa"/>
          </w:tcPr>
          <w:p w14:paraId="1CAAFCBB" w14:textId="77777777" w:rsidR="005F1E0F" w:rsidRDefault="005F1E0F" w:rsidP="006B54D4"/>
        </w:tc>
        <w:tc>
          <w:tcPr>
            <w:tcW w:w="5075" w:type="dxa"/>
          </w:tcPr>
          <w:p w14:paraId="66AE54D8" w14:textId="77777777" w:rsidR="005F1E0F" w:rsidRDefault="005F1E0F" w:rsidP="006B54D4">
            <w:r>
              <w:t>128.69 inc traveller allocation</w:t>
            </w:r>
          </w:p>
        </w:tc>
        <w:tc>
          <w:tcPr>
            <w:tcW w:w="1223" w:type="dxa"/>
          </w:tcPr>
          <w:p w14:paraId="48F9C42D" w14:textId="77777777" w:rsidR="005F1E0F" w:rsidRDefault="005F1E0F" w:rsidP="006B54D4">
            <w:r w:rsidRPr="00944754">
              <w:t>Green Belt</w:t>
            </w:r>
          </w:p>
        </w:tc>
        <w:tc>
          <w:tcPr>
            <w:tcW w:w="1009" w:type="dxa"/>
          </w:tcPr>
          <w:p w14:paraId="30E7C6CB" w14:textId="77777777" w:rsidR="005F1E0F" w:rsidRDefault="005F1E0F" w:rsidP="006B54D4"/>
        </w:tc>
        <w:tc>
          <w:tcPr>
            <w:tcW w:w="1119" w:type="dxa"/>
          </w:tcPr>
          <w:p w14:paraId="46C2286C" w14:textId="77777777" w:rsidR="005F1E0F" w:rsidRDefault="005F1E0F" w:rsidP="00545FA9">
            <w:pPr>
              <w:jc w:val="center"/>
            </w:pPr>
          </w:p>
        </w:tc>
      </w:tr>
      <w:tr w:rsidR="006B5D7B" w14:paraId="776B9D90" w14:textId="77777777" w:rsidTr="00D5644C">
        <w:tc>
          <w:tcPr>
            <w:tcW w:w="590" w:type="dxa"/>
            <w:shd w:val="clear" w:color="auto" w:fill="E7E6E6" w:themeFill="background2"/>
          </w:tcPr>
          <w:p w14:paraId="60622F5A" w14:textId="77777777" w:rsidR="006B5D7B" w:rsidRDefault="006B5D7B" w:rsidP="006B54D4"/>
        </w:tc>
        <w:tc>
          <w:tcPr>
            <w:tcW w:w="5075" w:type="dxa"/>
            <w:shd w:val="clear" w:color="auto" w:fill="E7E6E6" w:themeFill="background2"/>
          </w:tcPr>
          <w:p w14:paraId="31BF74ED" w14:textId="23B53CAC" w:rsidR="006B5D7B" w:rsidRPr="00545FA9" w:rsidRDefault="006B5D7B" w:rsidP="006B54D4">
            <w:pPr>
              <w:rPr>
                <w:b/>
                <w:bCs/>
              </w:rPr>
            </w:pPr>
            <w:r w:rsidRPr="00545FA9">
              <w:rPr>
                <w:b/>
                <w:bCs/>
              </w:rPr>
              <w:t>Sites which should remain open space</w:t>
            </w:r>
            <w:r w:rsidR="008E67F1">
              <w:rPr>
                <w:b/>
                <w:bCs/>
              </w:rPr>
              <w:t xml:space="preserve"> / retained as useful </w:t>
            </w:r>
            <w:r w:rsidR="00E9659C">
              <w:rPr>
                <w:b/>
                <w:bCs/>
              </w:rPr>
              <w:t>open green space</w:t>
            </w:r>
          </w:p>
        </w:tc>
        <w:tc>
          <w:tcPr>
            <w:tcW w:w="1223" w:type="dxa"/>
            <w:shd w:val="clear" w:color="auto" w:fill="E7E6E6" w:themeFill="background2"/>
          </w:tcPr>
          <w:p w14:paraId="18F5792C" w14:textId="77777777" w:rsidR="006B5D7B" w:rsidRDefault="006B5D7B" w:rsidP="006B54D4"/>
        </w:tc>
        <w:tc>
          <w:tcPr>
            <w:tcW w:w="1009" w:type="dxa"/>
            <w:shd w:val="clear" w:color="auto" w:fill="E7E6E6" w:themeFill="background2"/>
          </w:tcPr>
          <w:p w14:paraId="1C3654FE" w14:textId="77777777" w:rsidR="006B5D7B" w:rsidRDefault="006B5D7B" w:rsidP="006B54D4"/>
        </w:tc>
        <w:tc>
          <w:tcPr>
            <w:tcW w:w="1119" w:type="dxa"/>
            <w:shd w:val="clear" w:color="auto" w:fill="E7E6E6" w:themeFill="background2"/>
          </w:tcPr>
          <w:p w14:paraId="6B675D1A" w14:textId="77777777" w:rsidR="006B5D7B" w:rsidRDefault="006B5D7B" w:rsidP="006B54D4"/>
        </w:tc>
      </w:tr>
      <w:tr w:rsidR="005F1E0F" w14:paraId="4FE895BF" w14:textId="77777777" w:rsidTr="00D5644C">
        <w:tc>
          <w:tcPr>
            <w:tcW w:w="590" w:type="dxa"/>
          </w:tcPr>
          <w:p w14:paraId="005329F1" w14:textId="77777777" w:rsidR="005F1E0F" w:rsidRDefault="005F1E0F" w:rsidP="006B54D4">
            <w:r>
              <w:t>42</w:t>
            </w:r>
          </w:p>
        </w:tc>
        <w:tc>
          <w:tcPr>
            <w:tcW w:w="5075" w:type="dxa"/>
          </w:tcPr>
          <w:p w14:paraId="117CBF52" w14:textId="1521DA85" w:rsidR="005F1E0F" w:rsidRDefault="005F1E0F" w:rsidP="006B54D4">
            <w:r>
              <w:t>Land at Bedfont Lakes (West) 753 Staines Road, Feltham –</w:t>
            </w:r>
            <w:r w:rsidR="008E67F1">
              <w:t xml:space="preserve"> </w:t>
            </w:r>
            <w:r>
              <w:t>Does not appear to be GB according to CPRE map but is</w:t>
            </w:r>
            <w:r w:rsidR="008E67F1">
              <w:t xml:space="preserve"> listed </w:t>
            </w:r>
            <w:r>
              <w:t xml:space="preserve">by Hounslow as ‘Metropolitan Green Belt’ in site allocations </w:t>
            </w:r>
          </w:p>
        </w:tc>
        <w:tc>
          <w:tcPr>
            <w:tcW w:w="1223" w:type="dxa"/>
          </w:tcPr>
          <w:p w14:paraId="79C46C2D" w14:textId="77777777" w:rsidR="005F1E0F" w:rsidRDefault="005F1E0F" w:rsidP="006B54D4">
            <w:r>
              <w:t>?</w:t>
            </w:r>
          </w:p>
        </w:tc>
        <w:tc>
          <w:tcPr>
            <w:tcW w:w="1009" w:type="dxa"/>
          </w:tcPr>
          <w:p w14:paraId="7F76FC2D" w14:textId="77777777" w:rsidR="005F1E0F" w:rsidRDefault="005F1E0F" w:rsidP="006B54D4"/>
        </w:tc>
        <w:tc>
          <w:tcPr>
            <w:tcW w:w="1119" w:type="dxa"/>
          </w:tcPr>
          <w:p w14:paraId="12B54A1A" w14:textId="77777777" w:rsidR="005F1E0F" w:rsidRDefault="005F1E0F" w:rsidP="00545FA9">
            <w:pPr>
              <w:jc w:val="center"/>
            </w:pPr>
            <w:r>
              <w:t>6.8 (seems wrong: more like 2.5h)</w:t>
            </w:r>
          </w:p>
        </w:tc>
      </w:tr>
      <w:tr w:rsidR="005F1E0F" w14:paraId="69079797" w14:textId="77777777" w:rsidTr="00D5644C">
        <w:tc>
          <w:tcPr>
            <w:tcW w:w="590" w:type="dxa"/>
          </w:tcPr>
          <w:p w14:paraId="28C5931C" w14:textId="77777777" w:rsidR="005F1E0F" w:rsidRDefault="005F1E0F" w:rsidP="006B54D4">
            <w:r>
              <w:t>45</w:t>
            </w:r>
          </w:p>
        </w:tc>
        <w:tc>
          <w:tcPr>
            <w:tcW w:w="5075" w:type="dxa"/>
          </w:tcPr>
          <w:p w14:paraId="3EA96107" w14:textId="77777777" w:rsidR="005F1E0F" w:rsidRDefault="005F1E0F" w:rsidP="006B54D4">
            <w:r>
              <w:t>‘Land at Green Lane’ – disused allotments</w:t>
            </w:r>
          </w:p>
        </w:tc>
        <w:tc>
          <w:tcPr>
            <w:tcW w:w="1223" w:type="dxa"/>
          </w:tcPr>
          <w:p w14:paraId="02FC2ACE" w14:textId="77777777" w:rsidR="005F1E0F" w:rsidRDefault="005F1E0F" w:rsidP="006B54D4">
            <w:r>
              <w:t>Allotments</w:t>
            </w:r>
          </w:p>
        </w:tc>
        <w:tc>
          <w:tcPr>
            <w:tcW w:w="1009" w:type="dxa"/>
          </w:tcPr>
          <w:p w14:paraId="1F02CB79" w14:textId="77777777" w:rsidR="005F1E0F" w:rsidRDefault="005F1E0F" w:rsidP="006B54D4"/>
        </w:tc>
        <w:tc>
          <w:tcPr>
            <w:tcW w:w="1119" w:type="dxa"/>
          </w:tcPr>
          <w:p w14:paraId="4944A1FF" w14:textId="77777777" w:rsidR="005F1E0F" w:rsidRDefault="005F1E0F" w:rsidP="00545FA9">
            <w:pPr>
              <w:jc w:val="center"/>
            </w:pPr>
            <w:r>
              <w:t>3.1</w:t>
            </w:r>
          </w:p>
        </w:tc>
      </w:tr>
      <w:tr w:rsidR="005F1E0F" w14:paraId="1F1CB7E8" w14:textId="77777777" w:rsidTr="00D5644C">
        <w:tc>
          <w:tcPr>
            <w:tcW w:w="590" w:type="dxa"/>
          </w:tcPr>
          <w:p w14:paraId="634F6188" w14:textId="77777777" w:rsidR="005F1E0F" w:rsidRDefault="005F1E0F" w:rsidP="006B54D4">
            <w:r>
              <w:t>73</w:t>
            </w:r>
          </w:p>
        </w:tc>
        <w:tc>
          <w:tcPr>
            <w:tcW w:w="5075" w:type="dxa"/>
          </w:tcPr>
          <w:p w14:paraId="775D8AE6" w14:textId="77777777" w:rsidR="005F1E0F" w:rsidRDefault="005F1E0F" w:rsidP="006B54D4">
            <w:r>
              <w:t>Land at Nene Gardens</w:t>
            </w:r>
          </w:p>
        </w:tc>
        <w:tc>
          <w:tcPr>
            <w:tcW w:w="1223" w:type="dxa"/>
          </w:tcPr>
          <w:p w14:paraId="5AA69A5B" w14:textId="77777777" w:rsidR="005F1E0F" w:rsidRDefault="005F1E0F" w:rsidP="006B54D4">
            <w:r>
              <w:t>Local open space</w:t>
            </w:r>
          </w:p>
        </w:tc>
        <w:tc>
          <w:tcPr>
            <w:tcW w:w="1009" w:type="dxa"/>
          </w:tcPr>
          <w:p w14:paraId="447C7830" w14:textId="77777777" w:rsidR="005F1E0F" w:rsidRDefault="005F1E0F" w:rsidP="006B54D4"/>
        </w:tc>
        <w:tc>
          <w:tcPr>
            <w:tcW w:w="1119" w:type="dxa"/>
          </w:tcPr>
          <w:p w14:paraId="761BAF30" w14:textId="77777777" w:rsidR="005F1E0F" w:rsidRDefault="005F1E0F" w:rsidP="00545FA9">
            <w:pPr>
              <w:jc w:val="center"/>
            </w:pPr>
            <w:r>
              <w:t>0.3</w:t>
            </w:r>
          </w:p>
        </w:tc>
      </w:tr>
      <w:tr w:rsidR="005F1E0F" w14:paraId="7B3FE4B9" w14:textId="77777777" w:rsidTr="00D5644C">
        <w:tc>
          <w:tcPr>
            <w:tcW w:w="590" w:type="dxa"/>
          </w:tcPr>
          <w:p w14:paraId="2BC7EF50" w14:textId="77777777" w:rsidR="005F1E0F" w:rsidRDefault="005F1E0F" w:rsidP="006B54D4">
            <w:r>
              <w:t>89</w:t>
            </w:r>
          </w:p>
        </w:tc>
        <w:tc>
          <w:tcPr>
            <w:tcW w:w="5075" w:type="dxa"/>
          </w:tcPr>
          <w:p w14:paraId="30349419" w14:textId="77777777" w:rsidR="005F1E0F" w:rsidRDefault="005F1E0F" w:rsidP="006B54D4">
            <w:r>
              <w:t>Local open space should be retained as part of Inwood Park</w:t>
            </w:r>
          </w:p>
        </w:tc>
        <w:tc>
          <w:tcPr>
            <w:tcW w:w="1223" w:type="dxa"/>
          </w:tcPr>
          <w:p w14:paraId="6C225A39" w14:textId="77777777" w:rsidR="005F1E0F" w:rsidRDefault="005F1E0F" w:rsidP="006B54D4">
            <w:r>
              <w:t>Local open space</w:t>
            </w:r>
          </w:p>
        </w:tc>
        <w:tc>
          <w:tcPr>
            <w:tcW w:w="1009" w:type="dxa"/>
          </w:tcPr>
          <w:p w14:paraId="7CEC200F" w14:textId="77777777" w:rsidR="005F1E0F" w:rsidRDefault="005F1E0F" w:rsidP="006B54D4"/>
        </w:tc>
        <w:tc>
          <w:tcPr>
            <w:tcW w:w="1119" w:type="dxa"/>
          </w:tcPr>
          <w:p w14:paraId="0996DA43" w14:textId="77777777" w:rsidR="005F1E0F" w:rsidRDefault="005F1E0F" w:rsidP="00545FA9">
            <w:pPr>
              <w:jc w:val="center"/>
            </w:pPr>
            <w:r>
              <w:t>0.5</w:t>
            </w:r>
          </w:p>
        </w:tc>
      </w:tr>
      <w:tr w:rsidR="005F1E0F" w14:paraId="4D056024" w14:textId="77777777" w:rsidTr="00D5644C">
        <w:tc>
          <w:tcPr>
            <w:tcW w:w="590" w:type="dxa"/>
          </w:tcPr>
          <w:p w14:paraId="3E6CE5BF" w14:textId="77777777" w:rsidR="005F1E0F" w:rsidRDefault="005F1E0F" w:rsidP="006B54D4">
            <w:r>
              <w:t>64</w:t>
            </w:r>
          </w:p>
        </w:tc>
        <w:tc>
          <w:tcPr>
            <w:tcW w:w="5075" w:type="dxa"/>
          </w:tcPr>
          <w:p w14:paraId="72B69518" w14:textId="77777777" w:rsidR="005F1E0F" w:rsidRDefault="005F1E0F" w:rsidP="006B54D4">
            <w:r>
              <w:t>MoD – flat open space</w:t>
            </w:r>
          </w:p>
        </w:tc>
        <w:tc>
          <w:tcPr>
            <w:tcW w:w="1223" w:type="dxa"/>
          </w:tcPr>
          <w:p w14:paraId="6182A936" w14:textId="77777777" w:rsidR="005F1E0F" w:rsidRDefault="005F1E0F" w:rsidP="006B54D4">
            <w:r>
              <w:t>Retain for sport</w:t>
            </w:r>
          </w:p>
        </w:tc>
        <w:tc>
          <w:tcPr>
            <w:tcW w:w="1009" w:type="dxa"/>
          </w:tcPr>
          <w:p w14:paraId="6CA2613E" w14:textId="77777777" w:rsidR="005F1E0F" w:rsidRDefault="005F1E0F" w:rsidP="006B54D4"/>
        </w:tc>
        <w:tc>
          <w:tcPr>
            <w:tcW w:w="1119" w:type="dxa"/>
          </w:tcPr>
          <w:p w14:paraId="2C79858E" w14:textId="77777777" w:rsidR="005F1E0F" w:rsidRDefault="005F1E0F" w:rsidP="006B54D4"/>
        </w:tc>
      </w:tr>
      <w:tr w:rsidR="005F1E0F" w14:paraId="1D2D9F34" w14:textId="77777777" w:rsidTr="00D5644C">
        <w:tc>
          <w:tcPr>
            <w:tcW w:w="590" w:type="dxa"/>
          </w:tcPr>
          <w:p w14:paraId="624630D3" w14:textId="77777777" w:rsidR="005F1E0F" w:rsidRDefault="005F1E0F" w:rsidP="006B54D4">
            <w:r>
              <w:t>84</w:t>
            </w:r>
          </w:p>
        </w:tc>
        <w:tc>
          <w:tcPr>
            <w:tcW w:w="5075" w:type="dxa"/>
          </w:tcPr>
          <w:p w14:paraId="39CBF022" w14:textId="77777777" w:rsidR="005F1E0F" w:rsidRDefault="005F1E0F" w:rsidP="006B54D4">
            <w:r>
              <w:t>Barracks – flat open space</w:t>
            </w:r>
          </w:p>
        </w:tc>
        <w:tc>
          <w:tcPr>
            <w:tcW w:w="1223" w:type="dxa"/>
          </w:tcPr>
          <w:p w14:paraId="5FC82E41" w14:textId="77777777" w:rsidR="005F1E0F" w:rsidRDefault="005F1E0F" w:rsidP="006B54D4">
            <w:r>
              <w:t>Retain for sport</w:t>
            </w:r>
          </w:p>
        </w:tc>
        <w:tc>
          <w:tcPr>
            <w:tcW w:w="1009" w:type="dxa"/>
          </w:tcPr>
          <w:p w14:paraId="1DA34EA7" w14:textId="77777777" w:rsidR="005F1E0F" w:rsidRDefault="005F1E0F" w:rsidP="006B54D4"/>
        </w:tc>
        <w:tc>
          <w:tcPr>
            <w:tcW w:w="1119" w:type="dxa"/>
          </w:tcPr>
          <w:p w14:paraId="1D0D2ABF" w14:textId="77777777" w:rsidR="005F1E0F" w:rsidRDefault="005F1E0F" w:rsidP="006B54D4"/>
        </w:tc>
      </w:tr>
      <w:tr w:rsidR="005F1E0F" w14:paraId="5D870758" w14:textId="77777777" w:rsidTr="00D5644C">
        <w:tc>
          <w:tcPr>
            <w:tcW w:w="590" w:type="dxa"/>
            <w:shd w:val="clear" w:color="auto" w:fill="E7E6E6" w:themeFill="background2"/>
          </w:tcPr>
          <w:p w14:paraId="7A41621B" w14:textId="77777777" w:rsidR="005F1E0F" w:rsidRDefault="005F1E0F" w:rsidP="006B54D4"/>
        </w:tc>
        <w:tc>
          <w:tcPr>
            <w:tcW w:w="5075" w:type="dxa"/>
            <w:shd w:val="clear" w:color="auto" w:fill="E7E6E6" w:themeFill="background2"/>
          </w:tcPr>
          <w:p w14:paraId="395DAC4E" w14:textId="0BFAF0FA" w:rsidR="005F1E0F" w:rsidRPr="006B5D7B" w:rsidRDefault="006B5D7B" w:rsidP="006B54D4">
            <w:pPr>
              <w:rPr>
                <w:b/>
                <w:bCs/>
              </w:rPr>
            </w:pPr>
            <w:r w:rsidRPr="006B5D7B">
              <w:rPr>
                <w:b/>
                <w:bCs/>
              </w:rPr>
              <w:t>Other comments on sites</w:t>
            </w:r>
          </w:p>
        </w:tc>
        <w:tc>
          <w:tcPr>
            <w:tcW w:w="1223" w:type="dxa"/>
            <w:shd w:val="clear" w:color="auto" w:fill="E7E6E6" w:themeFill="background2"/>
          </w:tcPr>
          <w:p w14:paraId="59A807F9" w14:textId="77777777" w:rsidR="005F1E0F" w:rsidRDefault="005F1E0F" w:rsidP="006B54D4"/>
        </w:tc>
        <w:tc>
          <w:tcPr>
            <w:tcW w:w="1009" w:type="dxa"/>
            <w:shd w:val="clear" w:color="auto" w:fill="E7E6E6" w:themeFill="background2"/>
          </w:tcPr>
          <w:p w14:paraId="1E46BAEB" w14:textId="77777777" w:rsidR="005F1E0F" w:rsidRDefault="005F1E0F" w:rsidP="006B54D4"/>
        </w:tc>
        <w:tc>
          <w:tcPr>
            <w:tcW w:w="1119" w:type="dxa"/>
            <w:shd w:val="clear" w:color="auto" w:fill="E7E6E6" w:themeFill="background2"/>
          </w:tcPr>
          <w:p w14:paraId="1A7D8C96" w14:textId="77777777" w:rsidR="005F1E0F" w:rsidRDefault="005F1E0F" w:rsidP="006B54D4"/>
        </w:tc>
      </w:tr>
      <w:tr w:rsidR="005F1E0F" w14:paraId="001E3C10" w14:textId="77777777" w:rsidTr="00D5644C">
        <w:tc>
          <w:tcPr>
            <w:tcW w:w="590" w:type="dxa"/>
          </w:tcPr>
          <w:p w14:paraId="2031A54B" w14:textId="77777777" w:rsidR="005F1E0F" w:rsidRDefault="005F1E0F" w:rsidP="006B54D4">
            <w:r>
              <w:t>56</w:t>
            </w:r>
          </w:p>
        </w:tc>
        <w:tc>
          <w:tcPr>
            <w:tcW w:w="5075" w:type="dxa"/>
          </w:tcPr>
          <w:p w14:paraId="2B9EFE6C" w14:textId="77777777" w:rsidR="005F1E0F" w:rsidRDefault="005F1E0F" w:rsidP="006B54D4">
            <w:r>
              <w:t>Land at Glebelands Road – this appears to encroach onto park</w:t>
            </w:r>
          </w:p>
        </w:tc>
        <w:tc>
          <w:tcPr>
            <w:tcW w:w="1223" w:type="dxa"/>
          </w:tcPr>
          <w:p w14:paraId="0D93365A" w14:textId="77777777" w:rsidR="005F1E0F" w:rsidRDefault="005F1E0F" w:rsidP="006B54D4">
            <w:r>
              <w:t>Retain as park</w:t>
            </w:r>
          </w:p>
        </w:tc>
        <w:tc>
          <w:tcPr>
            <w:tcW w:w="1009" w:type="dxa"/>
          </w:tcPr>
          <w:p w14:paraId="6398C840" w14:textId="77777777" w:rsidR="005F1E0F" w:rsidRDefault="005F1E0F" w:rsidP="006B54D4"/>
        </w:tc>
        <w:tc>
          <w:tcPr>
            <w:tcW w:w="1119" w:type="dxa"/>
          </w:tcPr>
          <w:p w14:paraId="774729DF" w14:textId="77777777" w:rsidR="005F1E0F" w:rsidRDefault="005F1E0F" w:rsidP="006B54D4"/>
        </w:tc>
      </w:tr>
      <w:tr w:rsidR="005F1E0F" w14:paraId="31000DC3" w14:textId="77777777" w:rsidTr="00D5644C">
        <w:tc>
          <w:tcPr>
            <w:tcW w:w="590" w:type="dxa"/>
          </w:tcPr>
          <w:p w14:paraId="22F2E298" w14:textId="77777777" w:rsidR="005F1E0F" w:rsidRDefault="005F1E0F" w:rsidP="006B54D4">
            <w:r>
              <w:t>34</w:t>
            </w:r>
          </w:p>
          <w:p w14:paraId="5AEB9E36" w14:textId="77777777" w:rsidR="005F1E0F" w:rsidRDefault="005F1E0F" w:rsidP="006B54D4">
            <w:r>
              <w:t>&amp;35</w:t>
            </w:r>
          </w:p>
        </w:tc>
        <w:tc>
          <w:tcPr>
            <w:tcW w:w="5075" w:type="dxa"/>
          </w:tcPr>
          <w:p w14:paraId="1C21604D" w14:textId="77777777" w:rsidR="005F1E0F" w:rsidRDefault="005F1E0F" w:rsidP="006B54D4">
            <w:r>
              <w:t>Former Natwest Bank Site and B&amp;Q Chiswick could be combined and roadspace reclaimed to create a larger site</w:t>
            </w:r>
          </w:p>
        </w:tc>
        <w:tc>
          <w:tcPr>
            <w:tcW w:w="1223" w:type="dxa"/>
          </w:tcPr>
          <w:p w14:paraId="477825EA" w14:textId="77777777" w:rsidR="005F1E0F" w:rsidRDefault="005F1E0F" w:rsidP="006B54D4"/>
        </w:tc>
        <w:tc>
          <w:tcPr>
            <w:tcW w:w="1009" w:type="dxa"/>
          </w:tcPr>
          <w:p w14:paraId="675367D5" w14:textId="77777777" w:rsidR="005F1E0F" w:rsidRDefault="005F1E0F" w:rsidP="006B54D4"/>
        </w:tc>
        <w:tc>
          <w:tcPr>
            <w:tcW w:w="1119" w:type="dxa"/>
          </w:tcPr>
          <w:p w14:paraId="05C350D1" w14:textId="77777777" w:rsidR="005F1E0F" w:rsidRDefault="005F1E0F" w:rsidP="006B54D4"/>
        </w:tc>
      </w:tr>
    </w:tbl>
    <w:p w14:paraId="246AC0E8" w14:textId="3AEA18DF" w:rsidR="005F1E0F" w:rsidRDefault="005F1E0F" w:rsidP="005F1E0F"/>
    <w:p w14:paraId="41C8FEB9" w14:textId="6614E8A6" w:rsidR="00877722" w:rsidRPr="00877722" w:rsidRDefault="00877722" w:rsidP="005F1E0F">
      <w:pPr>
        <w:rPr>
          <w:b/>
          <w:bCs/>
          <w:sz w:val="24"/>
          <w:szCs w:val="24"/>
        </w:rPr>
      </w:pPr>
      <w:r w:rsidRPr="00877722">
        <w:rPr>
          <w:b/>
          <w:bCs/>
          <w:sz w:val="24"/>
          <w:szCs w:val="24"/>
        </w:rPr>
        <w:t>Sites proposed for change from Green Belt to Metropolitan Open Land</w:t>
      </w:r>
    </w:p>
    <w:p w14:paraId="6A1CAF47" w14:textId="78734CCB" w:rsidR="005F1E0F" w:rsidRDefault="005F1E0F" w:rsidP="00D81305">
      <w:pPr>
        <w:spacing w:after="0" w:line="240" w:lineRule="auto"/>
        <w:rPr>
          <w:sz w:val="24"/>
          <w:szCs w:val="24"/>
        </w:rPr>
      </w:pPr>
      <w:r w:rsidRPr="00877722">
        <w:rPr>
          <w:sz w:val="24"/>
          <w:szCs w:val="24"/>
        </w:rPr>
        <w:t xml:space="preserve">Additional sites are allocated for change from Green Belt to Metropolitan Open Land but these are not listed in the Site Allocations. The </w:t>
      </w:r>
      <w:r w:rsidR="00877722" w:rsidRPr="00877722">
        <w:rPr>
          <w:sz w:val="24"/>
          <w:szCs w:val="24"/>
        </w:rPr>
        <w:t xml:space="preserve">justification for </w:t>
      </w:r>
      <w:r w:rsidRPr="00877722">
        <w:rPr>
          <w:sz w:val="24"/>
          <w:szCs w:val="24"/>
        </w:rPr>
        <w:t>chang</w:t>
      </w:r>
      <w:r w:rsidR="00877722" w:rsidRPr="00877722">
        <w:rPr>
          <w:sz w:val="24"/>
          <w:szCs w:val="24"/>
        </w:rPr>
        <w:t>ing</w:t>
      </w:r>
      <w:r w:rsidRPr="00877722">
        <w:rPr>
          <w:sz w:val="24"/>
          <w:szCs w:val="24"/>
        </w:rPr>
        <w:t xml:space="preserve"> the designation </w:t>
      </w:r>
      <w:r w:rsidR="00877722" w:rsidRPr="00877722">
        <w:rPr>
          <w:sz w:val="24"/>
          <w:szCs w:val="24"/>
        </w:rPr>
        <w:t xml:space="preserve">of </w:t>
      </w:r>
      <w:r w:rsidRPr="00877722">
        <w:rPr>
          <w:sz w:val="24"/>
          <w:szCs w:val="24"/>
        </w:rPr>
        <w:t xml:space="preserve">these </w:t>
      </w:r>
      <w:r w:rsidR="00877722" w:rsidRPr="00877722">
        <w:rPr>
          <w:sz w:val="24"/>
          <w:szCs w:val="24"/>
        </w:rPr>
        <w:t xml:space="preserve">sites </w:t>
      </w:r>
      <w:r w:rsidRPr="00877722">
        <w:rPr>
          <w:sz w:val="24"/>
          <w:szCs w:val="24"/>
        </w:rPr>
        <w:t xml:space="preserve">is also unsound. </w:t>
      </w:r>
    </w:p>
    <w:p w14:paraId="7A560E17" w14:textId="52677C6B" w:rsidR="00D81305" w:rsidRDefault="00D81305" w:rsidP="00D81305">
      <w:pPr>
        <w:spacing w:after="0" w:line="240" w:lineRule="auto"/>
        <w:rPr>
          <w:sz w:val="24"/>
          <w:szCs w:val="24"/>
        </w:rPr>
      </w:pPr>
    </w:p>
    <w:p w14:paraId="671CFCA5" w14:textId="46038A0C" w:rsidR="00D81305" w:rsidRDefault="00D81305" w:rsidP="00D81305">
      <w:pPr>
        <w:spacing w:after="0" w:line="240" w:lineRule="auto"/>
        <w:rPr>
          <w:sz w:val="24"/>
          <w:szCs w:val="24"/>
        </w:rPr>
      </w:pPr>
      <w:r>
        <w:rPr>
          <w:sz w:val="24"/>
          <w:szCs w:val="24"/>
        </w:rPr>
        <w:t xml:space="preserve">Yours </w:t>
      </w:r>
      <w:r w:rsidR="004C4F69">
        <w:rPr>
          <w:sz w:val="24"/>
          <w:szCs w:val="24"/>
        </w:rPr>
        <w:t>faithfully</w:t>
      </w:r>
      <w:bookmarkStart w:id="0" w:name="_GoBack"/>
      <w:bookmarkEnd w:id="0"/>
    </w:p>
    <w:p w14:paraId="6FC6379D" w14:textId="77777777" w:rsidR="00D81305" w:rsidRDefault="00D81305" w:rsidP="00D81305">
      <w:pPr>
        <w:spacing w:after="0" w:line="240" w:lineRule="auto"/>
        <w:rPr>
          <w:sz w:val="24"/>
          <w:szCs w:val="24"/>
        </w:rPr>
      </w:pPr>
    </w:p>
    <w:p w14:paraId="35A8C20F" w14:textId="751BDF1E" w:rsidR="00D81305" w:rsidRDefault="00D81305" w:rsidP="00D81305">
      <w:pPr>
        <w:spacing w:after="0" w:line="240" w:lineRule="auto"/>
        <w:rPr>
          <w:sz w:val="24"/>
          <w:szCs w:val="24"/>
        </w:rPr>
      </w:pPr>
      <w:r>
        <w:rPr>
          <w:sz w:val="24"/>
          <w:szCs w:val="24"/>
        </w:rPr>
        <w:t>Alice Roberts</w:t>
      </w:r>
    </w:p>
    <w:p w14:paraId="494B74B0" w14:textId="0D6AF82A" w:rsidR="00D81305" w:rsidRDefault="00D81305" w:rsidP="00D81305">
      <w:pPr>
        <w:spacing w:after="0" w:line="240" w:lineRule="auto"/>
        <w:rPr>
          <w:sz w:val="24"/>
          <w:szCs w:val="24"/>
        </w:rPr>
      </w:pPr>
      <w:r>
        <w:rPr>
          <w:sz w:val="24"/>
          <w:szCs w:val="24"/>
        </w:rPr>
        <w:t>Head of Green Space Campaigns</w:t>
      </w:r>
    </w:p>
    <w:p w14:paraId="5BBF0D11" w14:textId="4CAFD251" w:rsidR="00D81305" w:rsidRDefault="00D81305" w:rsidP="00D81305">
      <w:pPr>
        <w:spacing w:after="0" w:line="240" w:lineRule="auto"/>
        <w:rPr>
          <w:sz w:val="24"/>
          <w:szCs w:val="24"/>
        </w:rPr>
      </w:pPr>
      <w:r>
        <w:rPr>
          <w:sz w:val="24"/>
          <w:szCs w:val="24"/>
        </w:rPr>
        <w:t>CPRE London</w:t>
      </w:r>
    </w:p>
    <w:p w14:paraId="10245A3A" w14:textId="0E1C9857" w:rsidR="00D81305" w:rsidRDefault="00D81305" w:rsidP="00D81305">
      <w:pPr>
        <w:spacing w:after="0" w:line="240" w:lineRule="auto"/>
        <w:rPr>
          <w:sz w:val="24"/>
          <w:szCs w:val="24"/>
        </w:rPr>
      </w:pPr>
      <w:r>
        <w:rPr>
          <w:sz w:val="24"/>
          <w:szCs w:val="24"/>
        </w:rPr>
        <w:t>70 Cowcross St</w:t>
      </w:r>
    </w:p>
    <w:p w14:paraId="7A0CF142" w14:textId="631F8460" w:rsidR="00D81305" w:rsidRDefault="00D81305" w:rsidP="00D81305">
      <w:pPr>
        <w:spacing w:after="0" w:line="240" w:lineRule="auto"/>
        <w:rPr>
          <w:sz w:val="24"/>
          <w:szCs w:val="24"/>
        </w:rPr>
      </w:pPr>
      <w:r>
        <w:rPr>
          <w:sz w:val="24"/>
          <w:szCs w:val="24"/>
        </w:rPr>
        <w:t>London EC1M 6EJ</w:t>
      </w:r>
    </w:p>
    <w:p w14:paraId="4B264060" w14:textId="67581BDB" w:rsidR="00D81305" w:rsidRDefault="00D81305" w:rsidP="00D81305">
      <w:pPr>
        <w:spacing w:after="0" w:line="240" w:lineRule="auto"/>
        <w:rPr>
          <w:sz w:val="24"/>
          <w:szCs w:val="24"/>
        </w:rPr>
      </w:pPr>
      <w:r>
        <w:rPr>
          <w:sz w:val="24"/>
          <w:szCs w:val="24"/>
        </w:rPr>
        <w:t>07792942691</w:t>
      </w:r>
    </w:p>
    <w:p w14:paraId="3A3193B9" w14:textId="696B284B" w:rsidR="00D81305" w:rsidRDefault="004C4F69" w:rsidP="00D81305">
      <w:pPr>
        <w:spacing w:after="0" w:line="240" w:lineRule="auto"/>
        <w:rPr>
          <w:sz w:val="24"/>
          <w:szCs w:val="24"/>
        </w:rPr>
      </w:pPr>
      <w:hyperlink r:id="rId13" w:history="1">
        <w:r w:rsidR="00D81305" w:rsidRPr="00D7274C">
          <w:rPr>
            <w:rStyle w:val="Hyperlink"/>
            <w:sz w:val="24"/>
            <w:szCs w:val="24"/>
          </w:rPr>
          <w:t>alice@cprelondon.org.uk</w:t>
        </w:r>
      </w:hyperlink>
      <w:r w:rsidR="00D81305">
        <w:rPr>
          <w:sz w:val="24"/>
          <w:szCs w:val="24"/>
        </w:rPr>
        <w:t xml:space="preserve"> </w:t>
      </w:r>
    </w:p>
    <w:p w14:paraId="4EF5BEEE" w14:textId="35D05052" w:rsidR="00DF536B" w:rsidRDefault="004C4F69" w:rsidP="00D81305">
      <w:pPr>
        <w:spacing w:after="0" w:line="240" w:lineRule="auto"/>
        <w:rPr>
          <w:sz w:val="24"/>
          <w:szCs w:val="24"/>
        </w:rPr>
      </w:pPr>
      <w:hyperlink r:id="rId14" w:history="1">
        <w:r w:rsidR="00DF536B" w:rsidRPr="00D7274C">
          <w:rPr>
            <w:rStyle w:val="Hyperlink"/>
            <w:sz w:val="24"/>
            <w:szCs w:val="24"/>
          </w:rPr>
          <w:t>www.cprelondon.org.uk</w:t>
        </w:r>
      </w:hyperlink>
      <w:r w:rsidR="00DF536B">
        <w:rPr>
          <w:sz w:val="24"/>
          <w:szCs w:val="24"/>
        </w:rPr>
        <w:t xml:space="preserve"> </w:t>
      </w:r>
    </w:p>
    <w:p w14:paraId="3AB90146" w14:textId="77777777" w:rsidR="00D81305" w:rsidRPr="00877722" w:rsidRDefault="00D81305" w:rsidP="005F1E0F">
      <w:pPr>
        <w:rPr>
          <w:sz w:val="24"/>
          <w:szCs w:val="24"/>
        </w:rPr>
      </w:pPr>
    </w:p>
    <w:p w14:paraId="54399980" w14:textId="77777777" w:rsidR="00480181" w:rsidRPr="00877722" w:rsidRDefault="00480181" w:rsidP="0023407F">
      <w:pPr>
        <w:rPr>
          <w:rFonts w:cstheme="minorHAnsi"/>
          <w:sz w:val="24"/>
          <w:szCs w:val="24"/>
          <w:lang w:eastAsia="en-GB"/>
        </w:rPr>
      </w:pPr>
    </w:p>
    <w:sectPr w:rsidR="00480181" w:rsidRPr="0087772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0210" w14:textId="77777777" w:rsidR="007E22E6" w:rsidRDefault="007E22E6" w:rsidP="00E70855">
      <w:pPr>
        <w:spacing w:after="0" w:line="240" w:lineRule="auto"/>
      </w:pPr>
      <w:r>
        <w:separator/>
      </w:r>
    </w:p>
  </w:endnote>
  <w:endnote w:type="continuationSeparator" w:id="0">
    <w:p w14:paraId="78295F22" w14:textId="77777777" w:rsidR="007E22E6" w:rsidRDefault="007E22E6" w:rsidP="00E7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47926"/>
      <w:docPartObj>
        <w:docPartGallery w:val="Page Numbers (Bottom of Page)"/>
        <w:docPartUnique/>
      </w:docPartObj>
    </w:sdtPr>
    <w:sdtEndPr>
      <w:rPr>
        <w:noProof/>
      </w:rPr>
    </w:sdtEndPr>
    <w:sdtContent>
      <w:p w14:paraId="101A86F6" w14:textId="0AEE118B" w:rsidR="00DF536B" w:rsidRDefault="00DF53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74F0B" w14:textId="77777777" w:rsidR="00DF536B" w:rsidRDefault="00DF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6E711" w14:textId="77777777" w:rsidR="007E22E6" w:rsidRDefault="007E22E6" w:rsidP="00E70855">
      <w:pPr>
        <w:spacing w:after="0" w:line="240" w:lineRule="auto"/>
      </w:pPr>
      <w:r>
        <w:separator/>
      </w:r>
    </w:p>
  </w:footnote>
  <w:footnote w:type="continuationSeparator" w:id="0">
    <w:p w14:paraId="760EAF9B" w14:textId="77777777" w:rsidR="007E22E6" w:rsidRDefault="007E22E6" w:rsidP="00E70855">
      <w:pPr>
        <w:spacing w:after="0" w:line="240" w:lineRule="auto"/>
      </w:pPr>
      <w:r>
        <w:continuationSeparator/>
      </w:r>
    </w:p>
  </w:footnote>
  <w:footnote w:id="1">
    <w:p w14:paraId="0B4385A5" w14:textId="77777777" w:rsidR="00E70EE3" w:rsidRDefault="00E70EE3" w:rsidP="00E70EE3">
      <w:pPr>
        <w:pStyle w:val="NormalWeb"/>
        <w:spacing w:before="0" w:beforeAutospacing="0" w:after="0" w:afterAutospacing="0"/>
        <w:rPr>
          <w:rFonts w:asciiTheme="minorHAnsi" w:hAnsiTheme="minorHAnsi" w:cstheme="minorHAnsi"/>
          <w:color w:val="0B0C0C"/>
          <w:sz w:val="16"/>
          <w:szCs w:val="16"/>
        </w:rPr>
      </w:pPr>
      <w:r w:rsidRPr="00E70855">
        <w:rPr>
          <w:rStyle w:val="FootnoteReference"/>
          <w:rFonts w:asciiTheme="minorHAnsi" w:hAnsiTheme="minorHAnsi" w:cstheme="minorHAnsi"/>
          <w:sz w:val="16"/>
          <w:szCs w:val="16"/>
        </w:rPr>
        <w:footnoteRef/>
      </w:r>
      <w:r w:rsidRPr="00E70855">
        <w:rPr>
          <w:rFonts w:asciiTheme="minorHAnsi" w:hAnsiTheme="minorHAnsi" w:cstheme="minorHAnsi"/>
          <w:sz w:val="16"/>
          <w:szCs w:val="16"/>
        </w:rPr>
        <w:t xml:space="preserve"> </w:t>
      </w:r>
      <w:r w:rsidRPr="00EF62C6">
        <w:rPr>
          <w:rFonts w:asciiTheme="minorHAnsi" w:hAnsiTheme="minorHAnsi" w:cstheme="minorHAnsi"/>
          <w:color w:val="0B0C0C"/>
          <w:sz w:val="16"/>
          <w:szCs w:val="16"/>
        </w:rPr>
        <w:t>NPPF Para 137. Before concluding that exceptional circumstances exist to justify changes to Green Belt boundaries, the strategic policy-making authority should be able to demonstrate that it has examined fully all other reasonable options for meeting its identified need for development. This will be assessed through the examination of its strategic policies, which will take into account the preceding paragraph, and whether the strategy:</w:t>
      </w:r>
    </w:p>
    <w:p w14:paraId="386AD45F" w14:textId="77777777" w:rsidR="00E70EE3" w:rsidRPr="00EF62C6" w:rsidRDefault="00E70EE3" w:rsidP="00E70EE3">
      <w:pPr>
        <w:pStyle w:val="NormalWeb"/>
        <w:spacing w:before="0" w:beforeAutospacing="0" w:after="0" w:afterAutospacing="0"/>
        <w:rPr>
          <w:rFonts w:asciiTheme="minorHAnsi" w:hAnsiTheme="minorHAnsi" w:cstheme="minorHAnsi"/>
          <w:color w:val="0B0C0C"/>
          <w:sz w:val="16"/>
          <w:szCs w:val="16"/>
        </w:rPr>
      </w:pPr>
      <w:r w:rsidRPr="00EF62C6">
        <w:rPr>
          <w:rFonts w:asciiTheme="minorHAnsi" w:hAnsiTheme="minorHAnsi" w:cstheme="minorHAnsi"/>
          <w:color w:val="0B0C0C"/>
          <w:sz w:val="16"/>
          <w:szCs w:val="16"/>
        </w:rPr>
        <w:t>(a) makes as much use as possible of suitable brownfield sites and underutilised land;</w:t>
      </w:r>
    </w:p>
    <w:p w14:paraId="75621AA6" w14:textId="77777777" w:rsidR="00E70EE3" w:rsidRPr="00EF62C6" w:rsidRDefault="00E70EE3" w:rsidP="00E70EE3">
      <w:pPr>
        <w:pStyle w:val="NormalWeb"/>
        <w:spacing w:before="0" w:beforeAutospacing="0" w:after="0" w:afterAutospacing="0"/>
        <w:rPr>
          <w:rFonts w:asciiTheme="minorHAnsi" w:hAnsiTheme="minorHAnsi" w:cstheme="minorHAnsi"/>
          <w:color w:val="0B0C0C"/>
          <w:sz w:val="16"/>
          <w:szCs w:val="16"/>
        </w:rPr>
      </w:pPr>
      <w:r w:rsidRPr="00EF62C6">
        <w:rPr>
          <w:rFonts w:asciiTheme="minorHAnsi" w:hAnsiTheme="minorHAnsi" w:cstheme="minorHAnsi"/>
          <w:color w:val="0B0C0C"/>
          <w:sz w:val="16"/>
          <w:szCs w:val="16"/>
        </w:rPr>
        <w:t xml:space="preserve">(b) optimises the density of development in line with the policies in </w:t>
      </w:r>
      <w:hyperlink r:id="rId1" w:history="1">
        <w:r w:rsidRPr="00EF62C6">
          <w:rPr>
            <w:rStyle w:val="Hyperlink"/>
            <w:rFonts w:asciiTheme="minorHAnsi" w:hAnsiTheme="minorHAnsi" w:cstheme="minorHAnsi"/>
            <w:color w:val="005EA5"/>
            <w:sz w:val="16"/>
            <w:szCs w:val="16"/>
            <w:bdr w:val="none" w:sz="0" w:space="0" w:color="auto" w:frame="1"/>
          </w:rPr>
          <w:t>chapter 11</w:t>
        </w:r>
      </w:hyperlink>
      <w:r w:rsidRPr="00EF62C6">
        <w:rPr>
          <w:rFonts w:asciiTheme="minorHAnsi" w:hAnsiTheme="minorHAnsi" w:cstheme="minorHAnsi"/>
          <w:color w:val="0B0C0C"/>
          <w:sz w:val="16"/>
          <w:szCs w:val="16"/>
        </w:rPr>
        <w:t xml:space="preserve"> of this Framework, including whether policies promote a significant uplift in minimum density standards in town and city centres and other locations well served by public transport; and</w:t>
      </w:r>
    </w:p>
    <w:p w14:paraId="4FA53FD9" w14:textId="77777777" w:rsidR="00E70EE3" w:rsidRPr="00EF62C6" w:rsidRDefault="00E70EE3" w:rsidP="00E70EE3">
      <w:pPr>
        <w:pStyle w:val="NormalWeb"/>
        <w:spacing w:before="0" w:beforeAutospacing="0" w:after="0" w:afterAutospacing="0"/>
        <w:rPr>
          <w:rFonts w:asciiTheme="minorHAnsi" w:hAnsiTheme="minorHAnsi" w:cstheme="minorHAnsi"/>
          <w:color w:val="0B0C0C"/>
          <w:sz w:val="16"/>
          <w:szCs w:val="16"/>
        </w:rPr>
      </w:pPr>
      <w:r w:rsidRPr="00EF62C6">
        <w:rPr>
          <w:rFonts w:asciiTheme="minorHAnsi" w:hAnsiTheme="minorHAnsi" w:cstheme="minorHAnsi"/>
          <w:color w:val="0B0C0C"/>
          <w:sz w:val="16"/>
          <w:szCs w:val="16"/>
        </w:rPr>
        <w:t xml:space="preserve">(c) </w:t>
      </w:r>
      <w:r w:rsidRPr="000626B9">
        <w:rPr>
          <w:rFonts w:asciiTheme="minorHAnsi" w:hAnsiTheme="minorHAnsi" w:cstheme="minorHAnsi"/>
          <w:color w:val="0B0C0C"/>
          <w:sz w:val="16"/>
          <w:szCs w:val="16"/>
        </w:rPr>
        <w:t>has been informed by discussions with neighbouring authorities</w:t>
      </w:r>
      <w:r w:rsidRPr="00EF62C6">
        <w:rPr>
          <w:rFonts w:asciiTheme="minorHAnsi" w:hAnsiTheme="minorHAnsi" w:cstheme="minorHAnsi"/>
          <w:color w:val="0B0C0C"/>
          <w:sz w:val="16"/>
          <w:szCs w:val="16"/>
        </w:rPr>
        <w:t xml:space="preserve"> about whether they could accommodate some of the identified need for development, as demonstrated through the statement of common ground.</w:t>
      </w:r>
    </w:p>
    <w:p w14:paraId="118F5741" w14:textId="77777777" w:rsidR="00E70EE3" w:rsidRPr="002156AC" w:rsidRDefault="00E70EE3" w:rsidP="00E70EE3">
      <w:pPr>
        <w:spacing w:after="0" w:line="240" w:lineRule="auto"/>
        <w:rPr>
          <w:rFonts w:cstheme="minorHAnsi"/>
          <w:sz w:val="24"/>
          <w:szCs w:val="24"/>
        </w:rPr>
      </w:pPr>
    </w:p>
    <w:p w14:paraId="43130FE9" w14:textId="77777777" w:rsidR="00E70EE3" w:rsidRPr="00E70855" w:rsidRDefault="00E70EE3" w:rsidP="00E70EE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388C"/>
    <w:multiLevelType w:val="hybridMultilevel"/>
    <w:tmpl w:val="ED3A72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71542"/>
    <w:multiLevelType w:val="hybridMultilevel"/>
    <w:tmpl w:val="70CA8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0776F5"/>
    <w:multiLevelType w:val="hybridMultilevel"/>
    <w:tmpl w:val="1E38D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77"/>
    <w:rsid w:val="00000601"/>
    <w:rsid w:val="00031427"/>
    <w:rsid w:val="0003595E"/>
    <w:rsid w:val="000373FF"/>
    <w:rsid w:val="00050CF5"/>
    <w:rsid w:val="000626B9"/>
    <w:rsid w:val="000755BE"/>
    <w:rsid w:val="00080587"/>
    <w:rsid w:val="00093C76"/>
    <w:rsid w:val="000B142E"/>
    <w:rsid w:val="000B2E05"/>
    <w:rsid w:val="000C6803"/>
    <w:rsid w:val="000D0F03"/>
    <w:rsid w:val="000D7840"/>
    <w:rsid w:val="000E7432"/>
    <w:rsid w:val="000E7E3E"/>
    <w:rsid w:val="000F1678"/>
    <w:rsid w:val="00102AF6"/>
    <w:rsid w:val="00104223"/>
    <w:rsid w:val="00107F65"/>
    <w:rsid w:val="00117BAA"/>
    <w:rsid w:val="00136D38"/>
    <w:rsid w:val="00145F14"/>
    <w:rsid w:val="001501CF"/>
    <w:rsid w:val="00160AEC"/>
    <w:rsid w:val="0019257A"/>
    <w:rsid w:val="001A4102"/>
    <w:rsid w:val="001D1A8A"/>
    <w:rsid w:val="001F0A79"/>
    <w:rsid w:val="00206E1F"/>
    <w:rsid w:val="002075E8"/>
    <w:rsid w:val="002156AC"/>
    <w:rsid w:val="00221A8C"/>
    <w:rsid w:val="0022600D"/>
    <w:rsid w:val="0023407F"/>
    <w:rsid w:val="00234DFF"/>
    <w:rsid w:val="0024701F"/>
    <w:rsid w:val="00251E09"/>
    <w:rsid w:val="00255686"/>
    <w:rsid w:val="00260411"/>
    <w:rsid w:val="0026469B"/>
    <w:rsid w:val="00271300"/>
    <w:rsid w:val="00272CBB"/>
    <w:rsid w:val="00286E49"/>
    <w:rsid w:val="00291AD4"/>
    <w:rsid w:val="00291E4A"/>
    <w:rsid w:val="002D78CD"/>
    <w:rsid w:val="002E312C"/>
    <w:rsid w:val="002E7AF7"/>
    <w:rsid w:val="003205DC"/>
    <w:rsid w:val="00322416"/>
    <w:rsid w:val="0034139C"/>
    <w:rsid w:val="003654C1"/>
    <w:rsid w:val="003815D9"/>
    <w:rsid w:val="00384E7C"/>
    <w:rsid w:val="003B45AF"/>
    <w:rsid w:val="003C3D8A"/>
    <w:rsid w:val="003D6ACA"/>
    <w:rsid w:val="003F16E4"/>
    <w:rsid w:val="003F67D8"/>
    <w:rsid w:val="004006E0"/>
    <w:rsid w:val="0040401D"/>
    <w:rsid w:val="00412B26"/>
    <w:rsid w:val="00423563"/>
    <w:rsid w:val="00425F63"/>
    <w:rsid w:val="00443407"/>
    <w:rsid w:val="004503C7"/>
    <w:rsid w:val="00453CC5"/>
    <w:rsid w:val="00461F2E"/>
    <w:rsid w:val="004626DC"/>
    <w:rsid w:val="00473638"/>
    <w:rsid w:val="00480181"/>
    <w:rsid w:val="00480B33"/>
    <w:rsid w:val="004856BD"/>
    <w:rsid w:val="004863B3"/>
    <w:rsid w:val="00490F5F"/>
    <w:rsid w:val="0049627E"/>
    <w:rsid w:val="004A2240"/>
    <w:rsid w:val="004A4C90"/>
    <w:rsid w:val="004A4F75"/>
    <w:rsid w:val="004A7D9D"/>
    <w:rsid w:val="004B3111"/>
    <w:rsid w:val="004B753B"/>
    <w:rsid w:val="004B7917"/>
    <w:rsid w:val="004C3208"/>
    <w:rsid w:val="004C4F69"/>
    <w:rsid w:val="004D3097"/>
    <w:rsid w:val="004E0C2E"/>
    <w:rsid w:val="004E6DB0"/>
    <w:rsid w:val="004F0D51"/>
    <w:rsid w:val="00501299"/>
    <w:rsid w:val="005067B0"/>
    <w:rsid w:val="0051047D"/>
    <w:rsid w:val="00523033"/>
    <w:rsid w:val="00545FA9"/>
    <w:rsid w:val="00555391"/>
    <w:rsid w:val="00557D0A"/>
    <w:rsid w:val="00565FE1"/>
    <w:rsid w:val="005759C4"/>
    <w:rsid w:val="005834E3"/>
    <w:rsid w:val="005B4338"/>
    <w:rsid w:val="005C43BB"/>
    <w:rsid w:val="005E42E9"/>
    <w:rsid w:val="005F1E0F"/>
    <w:rsid w:val="00602B0E"/>
    <w:rsid w:val="006041CC"/>
    <w:rsid w:val="00617D23"/>
    <w:rsid w:val="00625F97"/>
    <w:rsid w:val="0065428B"/>
    <w:rsid w:val="006753B9"/>
    <w:rsid w:val="00675EEC"/>
    <w:rsid w:val="006833AD"/>
    <w:rsid w:val="00685C7A"/>
    <w:rsid w:val="00691098"/>
    <w:rsid w:val="006A22DD"/>
    <w:rsid w:val="006A515D"/>
    <w:rsid w:val="006A69F2"/>
    <w:rsid w:val="006B1559"/>
    <w:rsid w:val="006B5D7B"/>
    <w:rsid w:val="0071341C"/>
    <w:rsid w:val="007375D3"/>
    <w:rsid w:val="0074479C"/>
    <w:rsid w:val="00760A53"/>
    <w:rsid w:val="007A0497"/>
    <w:rsid w:val="007A194E"/>
    <w:rsid w:val="007A5A4B"/>
    <w:rsid w:val="007B7FD4"/>
    <w:rsid w:val="007C2828"/>
    <w:rsid w:val="007D4BA9"/>
    <w:rsid w:val="007E22E6"/>
    <w:rsid w:val="0080374D"/>
    <w:rsid w:val="00824B04"/>
    <w:rsid w:val="008563FD"/>
    <w:rsid w:val="00876188"/>
    <w:rsid w:val="00877722"/>
    <w:rsid w:val="008A6006"/>
    <w:rsid w:val="008B52E1"/>
    <w:rsid w:val="008B5F57"/>
    <w:rsid w:val="008E67F1"/>
    <w:rsid w:val="008F1947"/>
    <w:rsid w:val="008F53C6"/>
    <w:rsid w:val="00936918"/>
    <w:rsid w:val="009560DB"/>
    <w:rsid w:val="009A7C89"/>
    <w:rsid w:val="009E2A46"/>
    <w:rsid w:val="009E2BA7"/>
    <w:rsid w:val="009E35F7"/>
    <w:rsid w:val="009F08C9"/>
    <w:rsid w:val="00A02647"/>
    <w:rsid w:val="00A04E48"/>
    <w:rsid w:val="00A0509A"/>
    <w:rsid w:val="00A05409"/>
    <w:rsid w:val="00A53971"/>
    <w:rsid w:val="00A57B21"/>
    <w:rsid w:val="00A603E4"/>
    <w:rsid w:val="00A80729"/>
    <w:rsid w:val="00AA1FB9"/>
    <w:rsid w:val="00AA788B"/>
    <w:rsid w:val="00AB7706"/>
    <w:rsid w:val="00AC1FBB"/>
    <w:rsid w:val="00AE1933"/>
    <w:rsid w:val="00AF0EEE"/>
    <w:rsid w:val="00AF4F94"/>
    <w:rsid w:val="00B0110B"/>
    <w:rsid w:val="00B06DFA"/>
    <w:rsid w:val="00B118AA"/>
    <w:rsid w:val="00B15465"/>
    <w:rsid w:val="00B30124"/>
    <w:rsid w:val="00B81D2B"/>
    <w:rsid w:val="00B82939"/>
    <w:rsid w:val="00B86BD2"/>
    <w:rsid w:val="00BA477C"/>
    <w:rsid w:val="00BB72AE"/>
    <w:rsid w:val="00BC42A8"/>
    <w:rsid w:val="00BD0E09"/>
    <w:rsid w:val="00BD1B09"/>
    <w:rsid w:val="00BD4032"/>
    <w:rsid w:val="00BD7877"/>
    <w:rsid w:val="00BE6C52"/>
    <w:rsid w:val="00BF384D"/>
    <w:rsid w:val="00C11EA9"/>
    <w:rsid w:val="00C315EA"/>
    <w:rsid w:val="00C41C1A"/>
    <w:rsid w:val="00C46B83"/>
    <w:rsid w:val="00C646CF"/>
    <w:rsid w:val="00C76AA4"/>
    <w:rsid w:val="00C8489B"/>
    <w:rsid w:val="00C905E8"/>
    <w:rsid w:val="00CA0F21"/>
    <w:rsid w:val="00CA7C4C"/>
    <w:rsid w:val="00CC038A"/>
    <w:rsid w:val="00CC16B1"/>
    <w:rsid w:val="00CC3191"/>
    <w:rsid w:val="00CF37A8"/>
    <w:rsid w:val="00D157AF"/>
    <w:rsid w:val="00D42D37"/>
    <w:rsid w:val="00D43920"/>
    <w:rsid w:val="00D5644C"/>
    <w:rsid w:val="00D731ED"/>
    <w:rsid w:val="00D76EA0"/>
    <w:rsid w:val="00D81305"/>
    <w:rsid w:val="00D81FA0"/>
    <w:rsid w:val="00D92CA9"/>
    <w:rsid w:val="00DA22C6"/>
    <w:rsid w:val="00DB112A"/>
    <w:rsid w:val="00DE3F3B"/>
    <w:rsid w:val="00DF536B"/>
    <w:rsid w:val="00E02F6C"/>
    <w:rsid w:val="00E05340"/>
    <w:rsid w:val="00E14FF0"/>
    <w:rsid w:val="00E15F60"/>
    <w:rsid w:val="00E35113"/>
    <w:rsid w:val="00E479B1"/>
    <w:rsid w:val="00E70855"/>
    <w:rsid w:val="00E70EE3"/>
    <w:rsid w:val="00E9659C"/>
    <w:rsid w:val="00EC7E08"/>
    <w:rsid w:val="00EE6EEE"/>
    <w:rsid w:val="00EF62C6"/>
    <w:rsid w:val="00F15643"/>
    <w:rsid w:val="00F23C41"/>
    <w:rsid w:val="00F247B6"/>
    <w:rsid w:val="00F63E77"/>
    <w:rsid w:val="00F665B8"/>
    <w:rsid w:val="00F673D1"/>
    <w:rsid w:val="00F7110C"/>
    <w:rsid w:val="00F7510F"/>
    <w:rsid w:val="00FE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45BB"/>
  <w15:chartTrackingRefBased/>
  <w15:docId w15:val="{84E704E9-0562-4384-8031-B4357710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0124"/>
    <w:rPr>
      <w:color w:val="0000FF"/>
      <w:u w:val="single"/>
    </w:rPr>
  </w:style>
  <w:style w:type="paragraph" w:styleId="ListParagraph">
    <w:name w:val="List Paragraph"/>
    <w:basedOn w:val="Normal"/>
    <w:uiPriority w:val="34"/>
    <w:qFormat/>
    <w:rsid w:val="00D92CA9"/>
    <w:pPr>
      <w:ind w:left="720"/>
      <w:contextualSpacing/>
    </w:pPr>
  </w:style>
  <w:style w:type="paragraph" w:styleId="FootnoteText">
    <w:name w:val="footnote text"/>
    <w:basedOn w:val="Normal"/>
    <w:link w:val="FootnoteTextChar"/>
    <w:uiPriority w:val="99"/>
    <w:semiHidden/>
    <w:unhideWhenUsed/>
    <w:rsid w:val="00E70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855"/>
    <w:rPr>
      <w:sz w:val="20"/>
      <w:szCs w:val="20"/>
    </w:rPr>
  </w:style>
  <w:style w:type="character" w:styleId="FootnoteReference">
    <w:name w:val="footnote reference"/>
    <w:basedOn w:val="DefaultParagraphFont"/>
    <w:uiPriority w:val="99"/>
    <w:semiHidden/>
    <w:unhideWhenUsed/>
    <w:rsid w:val="00E70855"/>
    <w:rPr>
      <w:vertAlign w:val="superscript"/>
    </w:rPr>
  </w:style>
  <w:style w:type="character" w:styleId="Strong">
    <w:name w:val="Strong"/>
    <w:basedOn w:val="DefaultParagraphFont"/>
    <w:uiPriority w:val="22"/>
    <w:qFormat/>
    <w:rsid w:val="00102AF6"/>
    <w:rPr>
      <w:b/>
      <w:bCs/>
    </w:rPr>
  </w:style>
  <w:style w:type="table" w:styleId="TableGrid">
    <w:name w:val="Table Grid"/>
    <w:basedOn w:val="TableNormal"/>
    <w:uiPriority w:val="39"/>
    <w:rsid w:val="0048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1305"/>
    <w:rPr>
      <w:color w:val="605E5C"/>
      <w:shd w:val="clear" w:color="auto" w:fill="E1DFDD"/>
    </w:rPr>
  </w:style>
  <w:style w:type="paragraph" w:styleId="Header">
    <w:name w:val="header"/>
    <w:basedOn w:val="Normal"/>
    <w:link w:val="HeaderChar"/>
    <w:uiPriority w:val="99"/>
    <w:unhideWhenUsed/>
    <w:rsid w:val="00DF5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36B"/>
  </w:style>
  <w:style w:type="paragraph" w:styleId="Footer">
    <w:name w:val="footer"/>
    <w:basedOn w:val="Normal"/>
    <w:link w:val="FooterChar"/>
    <w:uiPriority w:val="99"/>
    <w:unhideWhenUsed/>
    <w:rsid w:val="00DF5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5836">
      <w:bodyDiv w:val="1"/>
      <w:marLeft w:val="0"/>
      <w:marRight w:val="0"/>
      <w:marTop w:val="0"/>
      <w:marBottom w:val="0"/>
      <w:divBdr>
        <w:top w:val="none" w:sz="0" w:space="0" w:color="auto"/>
        <w:left w:val="none" w:sz="0" w:space="0" w:color="auto"/>
        <w:bottom w:val="none" w:sz="0" w:space="0" w:color="auto"/>
        <w:right w:val="none" w:sz="0" w:space="0" w:color="auto"/>
      </w:divBdr>
      <w:divsChild>
        <w:div w:id="1532692806">
          <w:marLeft w:val="0"/>
          <w:marRight w:val="0"/>
          <w:marTop w:val="0"/>
          <w:marBottom w:val="0"/>
          <w:divBdr>
            <w:top w:val="none" w:sz="0" w:space="0" w:color="auto"/>
            <w:left w:val="none" w:sz="0" w:space="0" w:color="auto"/>
            <w:bottom w:val="none" w:sz="0" w:space="0" w:color="auto"/>
            <w:right w:val="none" w:sz="0" w:space="0" w:color="auto"/>
          </w:divBdr>
        </w:div>
        <w:div w:id="1144657642">
          <w:marLeft w:val="0"/>
          <w:marRight w:val="0"/>
          <w:marTop w:val="0"/>
          <w:marBottom w:val="0"/>
          <w:divBdr>
            <w:top w:val="none" w:sz="0" w:space="0" w:color="auto"/>
            <w:left w:val="none" w:sz="0" w:space="0" w:color="auto"/>
            <w:bottom w:val="none" w:sz="0" w:space="0" w:color="auto"/>
            <w:right w:val="none" w:sz="0" w:space="0" w:color="auto"/>
          </w:divBdr>
        </w:div>
      </w:divsChild>
    </w:div>
    <w:div w:id="1264264687">
      <w:bodyDiv w:val="1"/>
      <w:marLeft w:val="0"/>
      <w:marRight w:val="0"/>
      <w:marTop w:val="0"/>
      <w:marBottom w:val="0"/>
      <w:divBdr>
        <w:top w:val="none" w:sz="0" w:space="0" w:color="auto"/>
        <w:left w:val="none" w:sz="0" w:space="0" w:color="auto"/>
        <w:bottom w:val="none" w:sz="0" w:space="0" w:color="auto"/>
        <w:right w:val="none" w:sz="0" w:space="0" w:color="auto"/>
      </w:divBdr>
    </w:div>
    <w:div w:id="1311129219">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8356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e@cprelond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unslow.app.box.com/s/pagw8ymuwrklwb2uysouhob2vanqal1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relondon.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national-planning-policy-framework/11-making-effective-use-of-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3781FA2CD3984FAF278AA292B530DE" ma:contentTypeVersion="10" ma:contentTypeDescription="Create a new document." ma:contentTypeScope="" ma:versionID="6390f4aa2a796bfb679c1936ce27f4fe">
  <xsd:schema xmlns:xsd="http://www.w3.org/2001/XMLSchema" xmlns:xs="http://www.w3.org/2001/XMLSchema" xmlns:p="http://schemas.microsoft.com/office/2006/metadata/properties" xmlns:ns2="f149b31c-8868-408d-909a-13cc18571e70" xmlns:ns3="ba6c2214-93f0-4d64-bdce-74e9c069a8de" targetNamespace="http://schemas.microsoft.com/office/2006/metadata/properties" ma:root="true" ma:fieldsID="f243d5e6270c2163c51a4d4a086f8a92" ns2:_="" ns3:_="">
    <xsd:import namespace="f149b31c-8868-408d-909a-13cc18571e70"/>
    <xsd:import namespace="ba6c2214-93f0-4d64-bdce-74e9c069a8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9b31c-8868-408d-909a-13cc18571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c2214-93f0-4d64-bdce-74e9c069a8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DF8C-6DE2-4B40-A77C-B7DBC27BB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D2D37-2A4A-4C7C-8159-FF860C81C75B}">
  <ds:schemaRefs>
    <ds:schemaRef ds:uri="http://schemas.microsoft.com/sharepoint/v3/contenttype/forms"/>
  </ds:schemaRefs>
</ds:datastoreItem>
</file>

<file path=customXml/itemProps3.xml><?xml version="1.0" encoding="utf-8"?>
<ds:datastoreItem xmlns:ds="http://schemas.openxmlformats.org/officeDocument/2006/customXml" ds:itemID="{47578216-77E3-4A04-AFEC-FD7364DDB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9b31c-8868-408d-909a-13cc18571e70"/>
    <ds:schemaRef ds:uri="ba6c2214-93f0-4d64-bdce-74e9c069a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C33FE-B370-4F2F-AD24-E1EDC7E2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Roberts</dc:creator>
  <cp:keywords/>
  <dc:description/>
  <cp:lastModifiedBy>Alice Roberts</cp:lastModifiedBy>
  <cp:revision>88</cp:revision>
  <dcterms:created xsi:type="dcterms:W3CDTF">2019-09-12T14:23:00Z</dcterms:created>
  <dcterms:modified xsi:type="dcterms:W3CDTF">2019-09-24T10:51:00Z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0x010100DA3781FA2CD3984FAF278AA292B530DE</vt:lpwstr>
  </property>
</Properties>
</file>